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61903" w14:textId="77777777" w:rsidR="00C22FA9" w:rsidRDefault="00C22FA9">
      <w:pPr>
        <w:spacing w:before="0"/>
      </w:pPr>
    </w:p>
    <w:p w14:paraId="02FA52E0" w14:textId="77777777" w:rsidR="00C22FA9" w:rsidRDefault="67C08506">
      <w:pPr>
        <w:spacing w:before="0"/>
        <w:jc w:val="center"/>
      </w:pPr>
      <w:r>
        <w:rPr>
          <w:rFonts w:eastAsia="Arial"/>
          <w:noProof/>
        </w:rPr>
        <w:drawing>
          <wp:inline distT="0" distB="0" distL="0" distR="0" wp14:anchorId="2D42BCDF" wp14:editId="7C214D7C">
            <wp:extent cx="2194560" cy="1734100"/>
            <wp:effectExtent l="0" t="0" r="0" b="0"/>
            <wp:docPr id="901" name="Dovecot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DovecoteLogo"/>
                    <pic:cNvPicPr/>
                  </pic:nvPicPr>
                  <pic:blipFill>
                    <a:blip r:embed="rId11"/>
                    <a:stretch>
                      <a:fillRect/>
                    </a:stretch>
                  </pic:blipFill>
                  <pic:spPr>
                    <a:xfrm>
                      <a:off x="0" y="0"/>
                      <a:ext cx="2194560" cy="1734100"/>
                    </a:xfrm>
                    <a:prstGeom prst="rect">
                      <a:avLst/>
                    </a:prstGeom>
                  </pic:spPr>
                </pic:pic>
              </a:graphicData>
            </a:graphic>
          </wp:inline>
        </w:drawing>
      </w:r>
    </w:p>
    <w:p w14:paraId="584A0A21" w14:textId="77777777" w:rsidR="67C08506" w:rsidRDefault="67C08506" w:rsidP="67C08506">
      <w:pPr>
        <w:pStyle w:val="Title1"/>
      </w:pPr>
    </w:p>
    <w:p w14:paraId="2B737B05" w14:textId="77777777" w:rsidR="717C5781" w:rsidRDefault="717C5781" w:rsidP="67C08506">
      <w:pPr>
        <w:pStyle w:val="Title1"/>
      </w:pPr>
      <w:r>
        <w:rPr>
          <w:rFonts w:eastAsia="Arial"/>
        </w:rPr>
        <w:t>Dovecote School</w:t>
      </w:r>
    </w:p>
    <w:p w14:paraId="08432FEF" w14:textId="77777777" w:rsidR="00C22FA9" w:rsidRDefault="004E7CD4">
      <w:pPr>
        <w:pStyle w:val="Title1"/>
      </w:pPr>
      <w:r>
        <w:rPr>
          <w:rFonts w:eastAsia="Arial"/>
          <w:sz w:val="36"/>
        </w:rPr>
        <w:t>DC115 Modern Slavery and Human Trafficking Policy</w:t>
      </w:r>
    </w:p>
    <w:p w14:paraId="14929162" w14:textId="77777777" w:rsidR="00C22FA9" w:rsidRDefault="00C22FA9">
      <w:pPr>
        <w:spacing w:before="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15"/>
        <w:gridCol w:w="6185"/>
      </w:tblGrid>
      <w:tr w:rsidR="00C22FA9" w14:paraId="0F289817" w14:textId="77777777">
        <w:tc>
          <w:tcPr>
            <w:tcW w:w="2880" w:type="dxa"/>
            <w:tcBorders>
              <w:top w:val="single" w:sz="6" w:space="0" w:color="D9D9D9"/>
              <w:left w:val="single" w:sz="6" w:space="0" w:color="D9D9D9"/>
              <w:bottom w:val="single" w:sz="6" w:space="0" w:color="D9D9D9"/>
              <w:right w:val="single" w:sz="6" w:space="0" w:color="D9D9D9"/>
            </w:tcBorders>
            <w:shd w:val="clear" w:color="auto" w:fill="E7E6E6"/>
            <w:vAlign w:val="center"/>
          </w:tcPr>
          <w:p w14:paraId="55E020DC" w14:textId="77777777" w:rsidR="00C22FA9" w:rsidRDefault="004E7CD4">
            <w:pPr>
              <w:spacing w:before="40" w:after="40"/>
            </w:pPr>
            <w:r>
              <w:rPr>
                <w:rFonts w:eastAsia="Arial"/>
                <w:b/>
              </w:rPr>
              <w:t>Document Reference</w:t>
            </w:r>
          </w:p>
        </w:tc>
        <w:tc>
          <w:tcPr>
            <w:tcW w:w="6336" w:type="dxa"/>
            <w:tcBorders>
              <w:top w:val="single" w:sz="6" w:space="0" w:color="D9D9D9"/>
              <w:left w:val="single" w:sz="6" w:space="0" w:color="D9D9D9"/>
              <w:bottom w:val="single" w:sz="6" w:space="0" w:color="D9D9D9"/>
              <w:right w:val="single" w:sz="6" w:space="0" w:color="D9D9D9"/>
            </w:tcBorders>
            <w:shd w:val="clear" w:color="auto" w:fill="FFFFFF"/>
            <w:vAlign w:val="center"/>
          </w:tcPr>
          <w:p w14:paraId="125983F9" w14:textId="77777777" w:rsidR="00C22FA9" w:rsidRDefault="004E7CD4">
            <w:pPr>
              <w:spacing w:before="40" w:after="40"/>
            </w:pPr>
            <w:r>
              <w:rPr>
                <w:rFonts w:eastAsia="Arial"/>
              </w:rPr>
              <w:t>DC115</w:t>
            </w:r>
          </w:p>
        </w:tc>
      </w:tr>
      <w:tr w:rsidR="00C22FA9" w14:paraId="44AC1290" w14:textId="77777777">
        <w:tc>
          <w:tcPr>
            <w:tcW w:w="2880" w:type="dxa"/>
            <w:tcBorders>
              <w:top w:val="single" w:sz="6" w:space="0" w:color="D9D9D9"/>
              <w:left w:val="single" w:sz="6" w:space="0" w:color="D9D9D9"/>
              <w:bottom w:val="single" w:sz="6" w:space="0" w:color="D9D9D9"/>
              <w:right w:val="single" w:sz="6" w:space="0" w:color="D9D9D9"/>
            </w:tcBorders>
            <w:shd w:val="clear" w:color="auto" w:fill="E7E6E6"/>
            <w:vAlign w:val="center"/>
          </w:tcPr>
          <w:p w14:paraId="235F596A" w14:textId="77777777" w:rsidR="00C22FA9" w:rsidRDefault="004E7CD4">
            <w:pPr>
              <w:spacing w:before="40" w:after="40"/>
            </w:pPr>
            <w:r>
              <w:rPr>
                <w:rFonts w:eastAsia="Arial"/>
                <w:b/>
              </w:rPr>
              <w:t>Responsible Person</w:t>
            </w:r>
          </w:p>
        </w:tc>
        <w:tc>
          <w:tcPr>
            <w:tcW w:w="6336" w:type="dxa"/>
            <w:tcBorders>
              <w:top w:val="single" w:sz="6" w:space="0" w:color="D9D9D9"/>
              <w:left w:val="single" w:sz="6" w:space="0" w:color="D9D9D9"/>
              <w:bottom w:val="single" w:sz="6" w:space="0" w:color="D9D9D9"/>
              <w:right w:val="single" w:sz="6" w:space="0" w:color="D9D9D9"/>
            </w:tcBorders>
            <w:shd w:val="clear" w:color="auto" w:fill="FFFFFF"/>
            <w:vAlign w:val="center"/>
          </w:tcPr>
          <w:p w14:paraId="1BF5EDAF" w14:textId="77777777" w:rsidR="00C22FA9" w:rsidRDefault="004E7CD4">
            <w:pPr>
              <w:spacing w:before="40" w:after="40"/>
            </w:pPr>
            <w:r>
              <w:rPr>
                <w:rFonts w:eastAsia="Arial"/>
              </w:rPr>
              <w:t>People, Resources and Compliance Manager</w:t>
            </w:r>
          </w:p>
        </w:tc>
      </w:tr>
      <w:tr w:rsidR="00C22FA9" w14:paraId="51C2D3B7" w14:textId="77777777">
        <w:tc>
          <w:tcPr>
            <w:tcW w:w="2880" w:type="dxa"/>
            <w:tcBorders>
              <w:top w:val="single" w:sz="6" w:space="0" w:color="D9D9D9"/>
              <w:left w:val="single" w:sz="6" w:space="0" w:color="D9D9D9"/>
              <w:bottom w:val="single" w:sz="6" w:space="0" w:color="D9D9D9"/>
              <w:right w:val="single" w:sz="6" w:space="0" w:color="D9D9D9"/>
            </w:tcBorders>
            <w:shd w:val="clear" w:color="auto" w:fill="E7E6E6"/>
            <w:vAlign w:val="center"/>
          </w:tcPr>
          <w:p w14:paraId="1850FCCD" w14:textId="77777777" w:rsidR="00C22FA9" w:rsidRDefault="004E7CD4">
            <w:pPr>
              <w:spacing w:before="40" w:after="40"/>
            </w:pPr>
            <w:r>
              <w:rPr>
                <w:rFonts w:eastAsia="Arial"/>
                <w:b/>
              </w:rPr>
              <w:t>Approved By</w:t>
            </w:r>
          </w:p>
        </w:tc>
        <w:tc>
          <w:tcPr>
            <w:tcW w:w="6336" w:type="dxa"/>
            <w:tcBorders>
              <w:top w:val="single" w:sz="6" w:space="0" w:color="D9D9D9"/>
              <w:left w:val="single" w:sz="6" w:space="0" w:color="D9D9D9"/>
              <w:bottom w:val="single" w:sz="6" w:space="0" w:color="D9D9D9"/>
              <w:right w:val="single" w:sz="6" w:space="0" w:color="D9D9D9"/>
            </w:tcBorders>
            <w:shd w:val="clear" w:color="auto" w:fill="FFFFFF"/>
            <w:vAlign w:val="center"/>
          </w:tcPr>
          <w:p w14:paraId="75FEF9D2" w14:textId="77777777" w:rsidR="00C22FA9" w:rsidRDefault="004E7CD4">
            <w:pPr>
              <w:spacing w:before="40" w:after="40"/>
            </w:pPr>
            <w:r>
              <w:rPr>
                <w:rFonts w:eastAsia="Arial"/>
              </w:rPr>
              <w:t>Headteacher and Cavendish Education</w:t>
            </w:r>
          </w:p>
        </w:tc>
      </w:tr>
      <w:tr w:rsidR="00C22FA9" w14:paraId="5F1AF333" w14:textId="77777777">
        <w:tc>
          <w:tcPr>
            <w:tcW w:w="2880" w:type="dxa"/>
            <w:tcBorders>
              <w:top w:val="single" w:sz="6" w:space="0" w:color="D9D9D9"/>
              <w:left w:val="single" w:sz="6" w:space="0" w:color="D9D9D9"/>
              <w:bottom w:val="single" w:sz="6" w:space="0" w:color="D9D9D9"/>
              <w:right w:val="single" w:sz="6" w:space="0" w:color="D9D9D9"/>
            </w:tcBorders>
            <w:shd w:val="clear" w:color="auto" w:fill="E7E6E6"/>
            <w:vAlign w:val="center"/>
          </w:tcPr>
          <w:p w14:paraId="3A40F902" w14:textId="77777777" w:rsidR="00C22FA9" w:rsidRDefault="004E7CD4">
            <w:pPr>
              <w:spacing w:before="40" w:after="40"/>
            </w:pPr>
            <w:r>
              <w:rPr>
                <w:rFonts w:eastAsia="Arial"/>
                <w:b/>
              </w:rPr>
              <w:t>Review Cycle</w:t>
            </w:r>
          </w:p>
        </w:tc>
        <w:tc>
          <w:tcPr>
            <w:tcW w:w="6336" w:type="dxa"/>
            <w:tcBorders>
              <w:top w:val="single" w:sz="6" w:space="0" w:color="D9D9D9"/>
              <w:left w:val="single" w:sz="6" w:space="0" w:color="D9D9D9"/>
              <w:bottom w:val="single" w:sz="6" w:space="0" w:color="D9D9D9"/>
              <w:right w:val="single" w:sz="6" w:space="0" w:color="D9D9D9"/>
            </w:tcBorders>
            <w:shd w:val="clear" w:color="auto" w:fill="FFFFFF"/>
            <w:vAlign w:val="center"/>
          </w:tcPr>
          <w:p w14:paraId="699DA049" w14:textId="77777777" w:rsidR="00C22FA9" w:rsidRDefault="004E7CD4">
            <w:pPr>
              <w:spacing w:before="40" w:after="40"/>
            </w:pPr>
            <w:r>
              <w:rPr>
                <w:rFonts w:eastAsia="Arial"/>
              </w:rPr>
              <w:t>Annual, or sooner following relevant legal, safeguarding or Group change</w:t>
            </w:r>
          </w:p>
        </w:tc>
      </w:tr>
      <w:tr w:rsidR="00C22FA9" w14:paraId="37CCA753" w14:textId="77777777">
        <w:tc>
          <w:tcPr>
            <w:tcW w:w="2880" w:type="dxa"/>
            <w:tcBorders>
              <w:top w:val="single" w:sz="6" w:space="0" w:color="D9D9D9"/>
              <w:left w:val="single" w:sz="6" w:space="0" w:color="D9D9D9"/>
              <w:bottom w:val="single" w:sz="6" w:space="0" w:color="D9D9D9"/>
              <w:right w:val="single" w:sz="6" w:space="0" w:color="D9D9D9"/>
            </w:tcBorders>
            <w:shd w:val="clear" w:color="auto" w:fill="E7E6E6"/>
            <w:vAlign w:val="center"/>
          </w:tcPr>
          <w:p w14:paraId="27F0CDD6" w14:textId="77777777" w:rsidR="00C22FA9" w:rsidRDefault="004E7CD4">
            <w:pPr>
              <w:spacing w:before="40" w:after="40"/>
            </w:pPr>
            <w:r>
              <w:rPr>
                <w:rFonts w:eastAsia="Arial"/>
                <w:b/>
              </w:rPr>
              <w:t>Last Review Date</w:t>
            </w:r>
          </w:p>
        </w:tc>
        <w:tc>
          <w:tcPr>
            <w:tcW w:w="6336" w:type="dxa"/>
            <w:tcBorders>
              <w:top w:val="single" w:sz="6" w:space="0" w:color="D9D9D9"/>
              <w:left w:val="single" w:sz="6" w:space="0" w:color="D9D9D9"/>
              <w:bottom w:val="single" w:sz="6" w:space="0" w:color="D9D9D9"/>
              <w:right w:val="single" w:sz="6" w:space="0" w:color="D9D9D9"/>
            </w:tcBorders>
            <w:shd w:val="clear" w:color="auto" w:fill="FFFFFF"/>
            <w:vAlign w:val="center"/>
          </w:tcPr>
          <w:p w14:paraId="5C154A34" w14:textId="77777777" w:rsidR="00C22FA9" w:rsidRDefault="004E7CD4">
            <w:pPr>
              <w:spacing w:before="40" w:after="40"/>
            </w:pPr>
            <w:r>
              <w:rPr>
                <w:rFonts w:eastAsia="Arial"/>
              </w:rPr>
              <w:t>14 September 2026</w:t>
            </w:r>
          </w:p>
        </w:tc>
      </w:tr>
      <w:tr w:rsidR="00C22FA9" w14:paraId="213B3D75" w14:textId="77777777">
        <w:tc>
          <w:tcPr>
            <w:tcW w:w="2880" w:type="dxa"/>
            <w:tcBorders>
              <w:top w:val="single" w:sz="6" w:space="0" w:color="D9D9D9"/>
              <w:left w:val="single" w:sz="6" w:space="0" w:color="D9D9D9"/>
              <w:bottom w:val="single" w:sz="6" w:space="0" w:color="D9D9D9"/>
              <w:right w:val="single" w:sz="6" w:space="0" w:color="D9D9D9"/>
            </w:tcBorders>
            <w:shd w:val="clear" w:color="auto" w:fill="E7E6E6"/>
            <w:vAlign w:val="center"/>
          </w:tcPr>
          <w:p w14:paraId="413BED59" w14:textId="77777777" w:rsidR="00C22FA9" w:rsidRDefault="004E7CD4">
            <w:pPr>
              <w:spacing w:before="40" w:after="40"/>
            </w:pPr>
            <w:r>
              <w:rPr>
                <w:rFonts w:eastAsia="Arial"/>
                <w:b/>
              </w:rPr>
              <w:t>Next Review Date</w:t>
            </w:r>
          </w:p>
        </w:tc>
        <w:tc>
          <w:tcPr>
            <w:tcW w:w="6336" w:type="dxa"/>
            <w:tcBorders>
              <w:top w:val="single" w:sz="6" w:space="0" w:color="D9D9D9"/>
              <w:left w:val="single" w:sz="6" w:space="0" w:color="D9D9D9"/>
              <w:bottom w:val="single" w:sz="6" w:space="0" w:color="D9D9D9"/>
              <w:right w:val="single" w:sz="6" w:space="0" w:color="D9D9D9"/>
            </w:tcBorders>
            <w:shd w:val="clear" w:color="auto" w:fill="FFFFFF"/>
            <w:vAlign w:val="center"/>
          </w:tcPr>
          <w:p w14:paraId="330D5323" w14:textId="77777777" w:rsidR="00C22FA9" w:rsidRDefault="004E7CD4">
            <w:pPr>
              <w:spacing w:before="40" w:after="40"/>
            </w:pPr>
            <w:r>
              <w:rPr>
                <w:rFonts w:eastAsia="Arial"/>
              </w:rPr>
              <w:t>August 2027</w:t>
            </w:r>
          </w:p>
        </w:tc>
      </w:tr>
    </w:tbl>
    <w:p w14:paraId="78B17FE0" w14:textId="77777777" w:rsidR="00C22FA9" w:rsidRDefault="004E7CD4">
      <w:pPr>
        <w:spacing w:before="0"/>
      </w:pPr>
      <w:r>
        <w:rPr>
          <w:rFonts w:eastAsia="Arial"/>
        </w:rPr>
        <w:br w:type="page"/>
      </w:r>
    </w:p>
    <w:p w14:paraId="4C83B46D" w14:textId="77777777" w:rsidR="00C22FA9" w:rsidRDefault="004E7CD4">
      <w:pPr>
        <w:spacing w:before="0" w:after="160"/>
      </w:pPr>
      <w:r>
        <w:rPr>
          <w:rFonts w:eastAsia="Arial"/>
        </w:rPr>
        <w:lastRenderedPageBreak/>
        <w:t>Dovecote School is owned and operated by Cavendish Education.</w:t>
      </w:r>
    </w:p>
    <w:p w14:paraId="73ADA3C5" w14:textId="77777777" w:rsidR="00C22FA9" w:rsidRDefault="00C22FA9">
      <w:pPr>
        <w:spacing w:before="0"/>
      </w:pPr>
    </w:p>
    <w:p w14:paraId="6770A52A" w14:textId="77777777" w:rsidR="00C22FA9" w:rsidRDefault="004E7CD4">
      <w:pPr>
        <w:spacing w:before="0" w:after="160"/>
      </w:pPr>
      <w:r>
        <w:rPr>
          <w:rFonts w:eastAsia="Arial"/>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Pr>
          <w:rFonts w:eastAsia="Arial"/>
        </w:rPr>
        <w:t>In particular it</w:t>
      </w:r>
      <w:proofErr w:type="gramEnd"/>
      <w:r>
        <w:rPr>
          <w:rFonts w:eastAsia="Arial"/>
        </w:rPr>
        <w:t xml:space="preserve"> should be read in conjunction with the policies covering equality and diversity, Health and Safety, safeguarding and child protection.</w:t>
      </w:r>
    </w:p>
    <w:p w14:paraId="677D2BF9" w14:textId="77777777" w:rsidR="00C22FA9" w:rsidRDefault="004E7CD4">
      <w:pPr>
        <w:spacing w:before="0" w:after="160"/>
      </w:pPr>
      <w:proofErr w:type="gramStart"/>
      <w:r>
        <w:rPr>
          <w:rFonts w:eastAsia="Arial"/>
        </w:rPr>
        <w:t>All of</w:t>
      </w:r>
      <w:proofErr w:type="gramEnd"/>
      <w:r>
        <w:rPr>
          <w:rFonts w:eastAsia="Arial"/>
        </w:rPr>
        <w:t xml:space="preserve"> these policies have been written, not simply to meet statutory and other requirements, but to enable and evidence the work that the whole school is undertaking to ensure the implementation of its core values.</w:t>
      </w:r>
    </w:p>
    <w:p w14:paraId="480CE8FE" w14:textId="77777777" w:rsidR="00C22FA9" w:rsidRDefault="004E7CD4">
      <w:pPr>
        <w:spacing w:before="0" w:after="160"/>
      </w:pPr>
      <w:r>
        <w:rPr>
          <w:rFonts w:eastAsia="Arial"/>
        </w:rPr>
        <w:t>While this current policy document may be referred to elsewhere in Dovecote School documentation, including particulars of employment, it is non-contractual.</w:t>
      </w:r>
    </w:p>
    <w:p w14:paraId="32532394" w14:textId="77777777" w:rsidR="00C22FA9" w:rsidRDefault="004E7CD4">
      <w:pPr>
        <w:spacing w:before="0" w:after="160"/>
      </w:pPr>
      <w:r>
        <w:rPr>
          <w:rFonts w:eastAsia="Arial"/>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3A88AD4C" w14:textId="77777777" w:rsidR="00C22FA9" w:rsidRDefault="004E7CD4">
      <w:pPr>
        <w:pStyle w:val="ListParagraph"/>
        <w:numPr>
          <w:ilvl w:val="0"/>
          <w:numId w:val="13"/>
        </w:numPr>
      </w:pPr>
      <w:r>
        <w:rPr>
          <w:rFonts w:eastAsia="Arial"/>
        </w:rPr>
        <w:t>all biological parents, whether they are married or not</w:t>
      </w:r>
    </w:p>
    <w:p w14:paraId="286D0FDB" w14:textId="77777777" w:rsidR="00C22FA9" w:rsidRDefault="004E7CD4">
      <w:pPr>
        <w:pStyle w:val="ListParagraph"/>
        <w:numPr>
          <w:ilvl w:val="0"/>
          <w:numId w:val="13"/>
        </w:numPr>
      </w:pPr>
      <w:r>
        <w:rPr>
          <w:rFonts w:eastAsia="Arial"/>
        </w:rPr>
        <w:t>any person who, although not a biological parent, has parental responsibility for a child or young person - this could be an adoptive parent, a step-parent, guardian or other relative</w:t>
      </w:r>
    </w:p>
    <w:p w14:paraId="7B0616D4" w14:textId="77777777" w:rsidR="00C22FA9" w:rsidRDefault="004E7CD4">
      <w:pPr>
        <w:pStyle w:val="ListParagraph"/>
        <w:numPr>
          <w:ilvl w:val="0"/>
          <w:numId w:val="13"/>
        </w:numPr>
      </w:pPr>
      <w:r>
        <w:rPr>
          <w:rFonts w:eastAsia="Arial"/>
        </w:rPr>
        <w:t>any person who, although not a biological parent and does not have parental responsibility, has care of a child or young person</w:t>
      </w:r>
    </w:p>
    <w:p w14:paraId="33A6ADCA" w14:textId="77777777" w:rsidR="00C22FA9" w:rsidRDefault="004E7CD4">
      <w:pPr>
        <w:spacing w:before="0" w:after="160"/>
      </w:pPr>
      <w:r>
        <w:rPr>
          <w:rFonts w:eastAsia="Arial"/>
        </w:rPr>
        <w:t>A person typically has care of a child or young person if they are the person with whom the child lives, either full or part time and who looks after the child, irrespective of what their biological or legal relationship is with the child.</w:t>
      </w:r>
    </w:p>
    <w:p w14:paraId="1C65F215" w14:textId="77777777" w:rsidR="00C22FA9" w:rsidRDefault="004E7CD4">
      <w:pPr>
        <w:spacing w:before="0" w:after="160"/>
      </w:pPr>
      <w:r>
        <w:rPr>
          <w:rFonts w:eastAsia="Arial"/>
        </w:rPr>
        <w:t>The school employs the services of the following consulting companies to ensure regulatory compliance and the implementation of best practice:</w:t>
      </w:r>
    </w:p>
    <w:p w14:paraId="0E04BEFD" w14:textId="77777777" w:rsidR="00C22FA9" w:rsidRDefault="004E7CD4">
      <w:pPr>
        <w:pStyle w:val="ListParagraph"/>
        <w:numPr>
          <w:ilvl w:val="0"/>
          <w:numId w:val="13"/>
        </w:numPr>
      </w:pPr>
      <w:r>
        <w:rPr>
          <w:rFonts w:eastAsia="Arial"/>
        </w:rPr>
        <w:t>WorkNest (HR &amp; employment law)</w:t>
      </w:r>
    </w:p>
    <w:p w14:paraId="671F9B97" w14:textId="77777777" w:rsidR="00C22FA9" w:rsidRDefault="004E7CD4">
      <w:pPr>
        <w:pStyle w:val="ListParagraph"/>
        <w:numPr>
          <w:ilvl w:val="0"/>
          <w:numId w:val="13"/>
        </w:numPr>
      </w:pPr>
      <w:r>
        <w:rPr>
          <w:rFonts w:eastAsia="Arial"/>
        </w:rPr>
        <w:t>SchoolPro TLC (data protection)</w:t>
      </w:r>
    </w:p>
    <w:p w14:paraId="42A0EC16" w14:textId="77777777" w:rsidR="00C22FA9" w:rsidRDefault="004E7CD4">
      <w:pPr>
        <w:pStyle w:val="ListParagraph"/>
        <w:numPr>
          <w:ilvl w:val="0"/>
          <w:numId w:val="13"/>
        </w:numPr>
      </w:pPr>
      <w:r>
        <w:rPr>
          <w:rFonts w:eastAsia="Arial"/>
        </w:rPr>
        <w:t>iAmCompliant (compliance management)</w:t>
      </w:r>
    </w:p>
    <w:p w14:paraId="328DE7FA" w14:textId="77777777" w:rsidR="00C22FA9" w:rsidRDefault="004E7CD4">
      <w:pPr>
        <w:spacing w:before="0" w:after="160"/>
      </w:pPr>
      <w:r>
        <w:rPr>
          <w:rFonts w:eastAsia="Arial"/>
        </w:rPr>
        <w:t>Where this policy refers to 'employees', the term refers to any individual that is classified as an employee or a worker, working with and on behalf of the school (including volunteers and contractors).</w:t>
      </w:r>
    </w:p>
    <w:p w14:paraId="09092F73" w14:textId="77777777" w:rsidR="00C22FA9" w:rsidRDefault="004E7CD4">
      <w:pPr>
        <w:spacing w:before="0" w:after="160"/>
      </w:pPr>
      <w:r>
        <w:rPr>
          <w:rFonts w:eastAsia="Arial"/>
        </w:rPr>
        <w:t>Dovecote School is committed to safeguarding and promoting the welfare of children and young people and expects all staff, volunteers, pupils and visitors to share this commitment.</w:t>
      </w:r>
    </w:p>
    <w:p w14:paraId="406E0926" w14:textId="77777777" w:rsidR="00C22FA9" w:rsidRDefault="004E7CD4">
      <w:pPr>
        <w:spacing w:before="0" w:after="160"/>
      </w:pPr>
      <w:r>
        <w:rPr>
          <w:rFonts w:eastAsia="Arial"/>
        </w:rPr>
        <w:lastRenderedPageBreak/>
        <w:t>All outcomes generated by this document must take account of and seek to contribute to safeguarding and promoting the welfare of children and young people at Dovecote School.</w:t>
      </w:r>
    </w:p>
    <w:p w14:paraId="5861BD63" w14:textId="77777777" w:rsidR="00C22FA9" w:rsidRDefault="004E7CD4">
      <w:pPr>
        <w:spacing w:before="0" w:after="160"/>
      </w:pPr>
      <w:r>
        <w:rPr>
          <w:rFonts w:eastAsia="Arial"/>
        </w:rPr>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38AB5CDA" w14:textId="77777777" w:rsidR="00C22FA9" w:rsidRDefault="004E7CD4">
      <w:pPr>
        <w:spacing w:before="0"/>
      </w:pPr>
      <w:r>
        <w:rPr>
          <w:rFonts w:eastAsia="Arial"/>
        </w:rPr>
        <w:br w:type="page"/>
      </w:r>
    </w:p>
    <w:p w14:paraId="2115E187" w14:textId="77777777" w:rsidR="00C22FA9" w:rsidRDefault="004E7CD4">
      <w:pPr>
        <w:pStyle w:val="Heading1"/>
        <w:spacing w:before="200" w:after="120"/>
      </w:pPr>
      <w:r>
        <w:rPr>
          <w:rFonts w:eastAsia="Arial"/>
        </w:rPr>
        <w:lastRenderedPageBreak/>
        <w:t>Document Version Control Log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760"/>
        <w:gridCol w:w="6111"/>
      </w:tblGrid>
      <w:tr w:rsidR="00C22FA9" w14:paraId="18CA90AB" w14:textId="77777777">
        <w:tc>
          <w:tcPr>
            <w:tcW w:w="1152" w:type="dxa"/>
            <w:tcBorders>
              <w:top w:val="single" w:sz="6" w:space="0" w:color="D9D9D9"/>
              <w:left w:val="single" w:sz="6" w:space="0" w:color="D9D9D9"/>
              <w:bottom w:val="single" w:sz="6" w:space="0" w:color="D9D9D9"/>
              <w:right w:val="single" w:sz="6" w:space="0" w:color="D9D9D9"/>
            </w:tcBorders>
            <w:shd w:val="clear" w:color="auto" w:fill="404040"/>
            <w:vAlign w:val="center"/>
          </w:tcPr>
          <w:p w14:paraId="5F79B2B6" w14:textId="77777777" w:rsidR="00C22FA9" w:rsidRDefault="004E7CD4">
            <w:pPr>
              <w:spacing w:before="40" w:after="40"/>
            </w:pPr>
            <w:r>
              <w:rPr>
                <w:rFonts w:eastAsia="Arial"/>
                <w:b/>
                <w:color w:val="FFFFFF"/>
                <w:sz w:val="22"/>
              </w:rPr>
              <w:t>Version</w:t>
            </w:r>
          </w:p>
        </w:tc>
        <w:tc>
          <w:tcPr>
            <w:tcW w:w="1800" w:type="dxa"/>
            <w:tcBorders>
              <w:top w:val="single" w:sz="6" w:space="0" w:color="D9D9D9"/>
              <w:left w:val="single" w:sz="6" w:space="0" w:color="D9D9D9"/>
              <w:bottom w:val="single" w:sz="6" w:space="0" w:color="D9D9D9"/>
              <w:right w:val="single" w:sz="6" w:space="0" w:color="D9D9D9"/>
            </w:tcBorders>
            <w:shd w:val="clear" w:color="auto" w:fill="404040"/>
            <w:vAlign w:val="center"/>
          </w:tcPr>
          <w:p w14:paraId="5AC9D292" w14:textId="77777777" w:rsidR="00C22FA9" w:rsidRDefault="004E7CD4">
            <w:pPr>
              <w:spacing w:before="40" w:after="40"/>
            </w:pPr>
            <w:r>
              <w:rPr>
                <w:rFonts w:eastAsia="Arial"/>
                <w:b/>
                <w:color w:val="FFFFFF"/>
                <w:sz w:val="22"/>
              </w:rPr>
              <w:t>Date</w:t>
            </w:r>
          </w:p>
        </w:tc>
        <w:tc>
          <w:tcPr>
            <w:tcW w:w="6264" w:type="dxa"/>
            <w:tcBorders>
              <w:top w:val="single" w:sz="6" w:space="0" w:color="D9D9D9"/>
              <w:left w:val="single" w:sz="6" w:space="0" w:color="D9D9D9"/>
              <w:bottom w:val="single" w:sz="6" w:space="0" w:color="D9D9D9"/>
              <w:right w:val="single" w:sz="6" w:space="0" w:color="D9D9D9"/>
            </w:tcBorders>
            <w:shd w:val="clear" w:color="auto" w:fill="404040"/>
            <w:vAlign w:val="center"/>
          </w:tcPr>
          <w:p w14:paraId="0BA01ECF" w14:textId="77777777" w:rsidR="00C22FA9" w:rsidRDefault="004E7CD4">
            <w:pPr>
              <w:spacing w:before="40" w:after="40"/>
            </w:pPr>
            <w:r>
              <w:rPr>
                <w:rFonts w:eastAsia="Arial"/>
                <w:b/>
                <w:color w:val="FFFFFF"/>
                <w:sz w:val="22"/>
              </w:rPr>
              <w:t>Description of changes and person/organisation responsible</w:t>
            </w:r>
          </w:p>
        </w:tc>
      </w:tr>
      <w:tr w:rsidR="00C22FA9" w14:paraId="703A22EE" w14:textId="77777777">
        <w:tc>
          <w:tcPr>
            <w:tcW w:w="1152" w:type="dxa"/>
            <w:tcBorders>
              <w:top w:val="single" w:sz="6" w:space="0" w:color="D9D9D9"/>
              <w:left w:val="single" w:sz="6" w:space="0" w:color="D9D9D9"/>
              <w:bottom w:val="single" w:sz="6" w:space="0" w:color="D9D9D9"/>
              <w:right w:val="single" w:sz="6" w:space="0" w:color="D9D9D9"/>
            </w:tcBorders>
            <w:shd w:val="clear" w:color="auto" w:fill="FFFFFF"/>
            <w:vAlign w:val="center"/>
          </w:tcPr>
          <w:p w14:paraId="2E1C9CB4" w14:textId="77777777" w:rsidR="00C22FA9" w:rsidRDefault="004E7CD4">
            <w:pPr>
              <w:spacing w:before="40" w:after="40"/>
            </w:pPr>
            <w:r>
              <w:rPr>
                <w:rFonts w:eastAsia="Arial"/>
                <w:sz w:val="22"/>
              </w:rPr>
              <w:t>1.0</w:t>
            </w:r>
          </w:p>
        </w:tc>
        <w:tc>
          <w:tcPr>
            <w:tcW w:w="1800" w:type="dxa"/>
            <w:tcBorders>
              <w:top w:val="single" w:sz="6" w:space="0" w:color="D9D9D9"/>
              <w:left w:val="single" w:sz="6" w:space="0" w:color="D9D9D9"/>
              <w:bottom w:val="single" w:sz="6" w:space="0" w:color="D9D9D9"/>
              <w:right w:val="single" w:sz="6" w:space="0" w:color="D9D9D9"/>
            </w:tcBorders>
            <w:shd w:val="clear" w:color="auto" w:fill="FFFFFF"/>
            <w:vAlign w:val="center"/>
          </w:tcPr>
          <w:p w14:paraId="1AB48228" w14:textId="77777777" w:rsidR="00C22FA9" w:rsidRDefault="004E7CD4">
            <w:pPr>
              <w:spacing w:before="40" w:after="40"/>
            </w:pPr>
            <w:r>
              <w:rPr>
                <w:rFonts w:eastAsia="Arial"/>
                <w:sz w:val="22"/>
              </w:rPr>
              <w:t>14 September 2026</w:t>
            </w:r>
          </w:p>
        </w:tc>
        <w:tc>
          <w:tcPr>
            <w:tcW w:w="6264" w:type="dxa"/>
            <w:tcBorders>
              <w:top w:val="single" w:sz="6" w:space="0" w:color="D9D9D9"/>
              <w:left w:val="single" w:sz="6" w:space="0" w:color="D9D9D9"/>
              <w:bottom w:val="single" w:sz="6" w:space="0" w:color="D9D9D9"/>
              <w:right w:val="single" w:sz="6" w:space="0" w:color="D9D9D9"/>
            </w:tcBorders>
            <w:shd w:val="clear" w:color="auto" w:fill="FFFFFF"/>
            <w:vAlign w:val="center"/>
          </w:tcPr>
          <w:p w14:paraId="19F1E710" w14:textId="77777777" w:rsidR="00C22FA9" w:rsidRDefault="004E7CD4">
            <w:pPr>
              <w:spacing w:before="40" w:after="40"/>
            </w:pPr>
            <w:r>
              <w:rPr>
                <w:rFonts w:eastAsia="Arial"/>
                <w:sz w:val="22"/>
              </w:rPr>
              <w:t>Initial Dovecote School version. Cavendish Education Group policy localised for Dovecote School, with local reporting, safeguarding, recruitment, procurement and monitoring arrangements added.</w:t>
            </w:r>
          </w:p>
        </w:tc>
      </w:tr>
    </w:tbl>
    <w:p w14:paraId="015B07AA" w14:textId="77777777" w:rsidR="00C22FA9" w:rsidRDefault="004E7CD4">
      <w:pPr>
        <w:spacing w:before="0"/>
      </w:pPr>
      <w:r>
        <w:rPr>
          <w:rFonts w:eastAsia="Arial"/>
        </w:rPr>
        <w:br w:type="page"/>
      </w:r>
    </w:p>
    <w:p w14:paraId="1C41BA56" w14:textId="77777777" w:rsidR="00C22FA9" w:rsidRDefault="004E7CD4">
      <w:pPr>
        <w:pStyle w:val="Heading1"/>
        <w:spacing w:before="200" w:after="120"/>
      </w:pPr>
      <w:r>
        <w:rPr>
          <w:rFonts w:eastAsia="Arial"/>
        </w:rPr>
        <w:lastRenderedPageBreak/>
        <w:t>Contents</w:t>
      </w:r>
    </w:p>
    <w:p w14:paraId="209623DA" w14:textId="77777777" w:rsidR="00C22FA9" w:rsidRDefault="004E7CD4">
      <w:pPr>
        <w:spacing w:before="0" w:after="160"/>
      </w:pPr>
      <w:r>
        <w:rPr>
          <w:rFonts w:eastAsia="Arial"/>
        </w:rPr>
        <w:t>1. Purpose and status</w:t>
      </w:r>
      <w:r>
        <w:rPr>
          <w:rFonts w:eastAsia="Arial"/>
        </w:rPr>
        <w:br/>
        <w:t>2. Legislation and guidance</w:t>
      </w:r>
      <w:r>
        <w:rPr>
          <w:rFonts w:eastAsia="Arial"/>
        </w:rPr>
        <w:br/>
        <w:t>3. Scope and definitions</w:t>
      </w:r>
      <w:r>
        <w:rPr>
          <w:rFonts w:eastAsia="Arial"/>
        </w:rPr>
        <w:br/>
        <w:t>4. Responsibilities</w:t>
      </w:r>
      <w:r>
        <w:rPr>
          <w:rFonts w:eastAsia="Arial"/>
        </w:rPr>
        <w:br/>
        <w:t>5. Prevention and due diligence</w:t>
      </w:r>
      <w:r>
        <w:rPr>
          <w:rFonts w:eastAsia="Arial"/>
        </w:rPr>
        <w:br/>
        <w:t>6. Recognising possible modern slavery</w:t>
      </w:r>
      <w:r>
        <w:rPr>
          <w:rFonts w:eastAsia="Arial"/>
        </w:rPr>
        <w:br/>
        <w:t>7. Reporting and responding to concerns</w:t>
      </w:r>
      <w:r>
        <w:rPr>
          <w:rFonts w:eastAsia="Arial"/>
        </w:rPr>
        <w:br/>
      </w:r>
      <w:r>
        <w:rPr>
          <w:rFonts w:eastAsia="Arial"/>
        </w:rPr>
        <w:t>8. National Referral Mechanism and external reporting</w:t>
      </w:r>
      <w:r>
        <w:rPr>
          <w:rFonts w:eastAsia="Arial"/>
        </w:rPr>
        <w:br/>
        <w:t>9. Training and awareness</w:t>
      </w:r>
      <w:r>
        <w:rPr>
          <w:rFonts w:eastAsia="Arial"/>
        </w:rPr>
        <w:br/>
        <w:t>10. Protection and confidentiality</w:t>
      </w:r>
      <w:r>
        <w:rPr>
          <w:rFonts w:eastAsia="Arial"/>
        </w:rPr>
        <w:br/>
        <w:t>11. Breaches and remediation</w:t>
      </w:r>
      <w:r>
        <w:rPr>
          <w:rFonts w:eastAsia="Arial"/>
        </w:rPr>
        <w:br/>
        <w:t>12. Monitoring and review</w:t>
      </w:r>
      <w:r>
        <w:rPr>
          <w:rFonts w:eastAsia="Arial"/>
        </w:rPr>
        <w:br/>
        <w:t>13. Links with other policies</w:t>
      </w:r>
    </w:p>
    <w:p w14:paraId="3AEA206D" w14:textId="77777777" w:rsidR="00C22FA9" w:rsidRDefault="004E7CD4">
      <w:pPr>
        <w:spacing w:before="0"/>
      </w:pPr>
      <w:r>
        <w:rPr>
          <w:rFonts w:eastAsia="Arial"/>
        </w:rPr>
        <w:br w:type="page"/>
      </w:r>
    </w:p>
    <w:p w14:paraId="42EAB699" w14:textId="77777777" w:rsidR="00C22FA9" w:rsidRDefault="004E7CD4">
      <w:pPr>
        <w:pStyle w:val="Heading1"/>
        <w:spacing w:before="200" w:after="120"/>
      </w:pPr>
      <w:r>
        <w:rPr>
          <w:rFonts w:eastAsia="Arial"/>
        </w:rPr>
        <w:lastRenderedPageBreak/>
        <w:t>1. Purpose and status</w:t>
      </w:r>
    </w:p>
    <w:p w14:paraId="416BE832" w14:textId="77777777" w:rsidR="00C22FA9" w:rsidRDefault="004E7CD4">
      <w:pPr>
        <w:spacing w:before="0" w:after="160"/>
      </w:pPr>
      <w:r>
        <w:rPr>
          <w:rFonts w:eastAsia="Arial"/>
        </w:rPr>
        <w:t>Dovecote School is committed to preventing modern slavery and human trafficking in its operations, employment practices and supply chains. This policy explains how the school prevents, identifies, reports and responds to suspected exploitation while safeguarding potential victims.</w:t>
      </w:r>
    </w:p>
    <w:p w14:paraId="63B78D1F" w14:textId="77777777" w:rsidR="00C22FA9" w:rsidRDefault="004E7CD4">
      <w:pPr>
        <w:spacing w:before="0" w:after="160"/>
      </w:pPr>
      <w:r>
        <w:rPr>
          <w:rFonts w:eastAsia="Arial"/>
        </w:rPr>
        <w:t>This policy is Dovecote School's local adoption of the Cavendish Education Group Modern Slavery and Human Trafficking Group Policy 2026. The Group requirements remain controlling; the local provisions below explain how they are implemented at Dovecote School.</w:t>
      </w:r>
    </w:p>
    <w:p w14:paraId="13ADB8A1" w14:textId="77777777" w:rsidR="00C22FA9" w:rsidRDefault="004E7CD4">
      <w:pPr>
        <w:spacing w:before="0" w:after="160"/>
      </w:pPr>
      <w:r>
        <w:rPr>
          <w:rFonts w:eastAsia="Arial"/>
        </w:rPr>
        <w:t>This policy does not form part of any employee's contract of employment and may be amended at any time.</w:t>
      </w:r>
    </w:p>
    <w:p w14:paraId="0A90AE37" w14:textId="77777777" w:rsidR="00C22FA9" w:rsidRDefault="004E7CD4">
      <w:pPr>
        <w:pStyle w:val="Heading1"/>
        <w:spacing w:before="200" w:after="120"/>
      </w:pPr>
      <w:r>
        <w:rPr>
          <w:rFonts w:eastAsia="Arial"/>
        </w:rPr>
        <w:t>2. Legislation and guidance</w:t>
      </w:r>
    </w:p>
    <w:p w14:paraId="6B783085" w14:textId="77777777" w:rsidR="00C22FA9" w:rsidRDefault="004E7CD4">
      <w:pPr>
        <w:spacing w:before="0" w:after="160"/>
      </w:pPr>
      <w:r>
        <w:rPr>
          <w:rFonts w:eastAsia="Arial"/>
        </w:rPr>
        <w:t>This policy has regard to the following legislation and guidance, as amended or replaced:</w:t>
      </w:r>
    </w:p>
    <w:p w14:paraId="7CEA5586" w14:textId="0AF4F003" w:rsidR="00C22FA9" w:rsidRDefault="004E7CD4" w:rsidP="002E4573">
      <w:pPr>
        <w:pStyle w:val="ListParagraph"/>
        <w:numPr>
          <w:ilvl w:val="0"/>
          <w:numId w:val="42"/>
        </w:numPr>
      </w:pPr>
      <w:r>
        <w:rPr>
          <w:rFonts w:eastAsia="Arial"/>
        </w:rPr>
        <w:t>Modern Slavery Act 2015, including section 54 on transparency in supply chains;</w:t>
      </w:r>
    </w:p>
    <w:p w14:paraId="44DFF595" w14:textId="06802438" w:rsidR="00C22FA9" w:rsidRDefault="004E7CD4" w:rsidP="002E4573">
      <w:pPr>
        <w:pStyle w:val="ListParagraph"/>
        <w:numPr>
          <w:ilvl w:val="0"/>
          <w:numId w:val="42"/>
        </w:numPr>
      </w:pPr>
      <w:r>
        <w:rPr>
          <w:rFonts w:eastAsia="Arial"/>
        </w:rPr>
        <w:t>Employment Rights Act 1996 and the protected-disclosure provisions introduced by the Public Interest Disclosure Act 1998;</w:t>
      </w:r>
    </w:p>
    <w:p w14:paraId="5EDD315D" w14:textId="7CFA3149" w:rsidR="00C22FA9" w:rsidRDefault="004E7CD4" w:rsidP="002E4573">
      <w:pPr>
        <w:pStyle w:val="ListParagraph"/>
        <w:numPr>
          <w:ilvl w:val="0"/>
          <w:numId w:val="42"/>
        </w:numPr>
      </w:pPr>
      <w:r>
        <w:rPr>
          <w:rFonts w:eastAsia="Arial"/>
        </w:rPr>
        <w:t>Children Acts 1989 and 2004;</w:t>
      </w:r>
    </w:p>
    <w:p w14:paraId="66BBADA0" w14:textId="2541BF86" w:rsidR="00C22FA9" w:rsidRDefault="004E7CD4" w:rsidP="002E4573">
      <w:pPr>
        <w:pStyle w:val="ListParagraph"/>
        <w:numPr>
          <w:ilvl w:val="0"/>
          <w:numId w:val="42"/>
        </w:numPr>
      </w:pPr>
      <w:r>
        <w:rPr>
          <w:rFonts w:eastAsia="Arial"/>
        </w:rPr>
        <w:t>Education (Independent School Standards) Regulations 2014;</w:t>
      </w:r>
    </w:p>
    <w:p w14:paraId="4900C218" w14:textId="665D30D9" w:rsidR="00C22FA9" w:rsidRDefault="004E7CD4" w:rsidP="002E4573">
      <w:pPr>
        <w:pStyle w:val="ListParagraph"/>
        <w:numPr>
          <w:ilvl w:val="0"/>
          <w:numId w:val="42"/>
        </w:numPr>
      </w:pPr>
      <w:r>
        <w:rPr>
          <w:rFonts w:eastAsia="Arial"/>
        </w:rPr>
        <w:t>Keeping Children Safe in Education 2026;</w:t>
      </w:r>
    </w:p>
    <w:p w14:paraId="3D22ECEF" w14:textId="2027E560" w:rsidR="00C22FA9" w:rsidRDefault="004E7CD4" w:rsidP="002E4573">
      <w:pPr>
        <w:pStyle w:val="ListParagraph"/>
        <w:numPr>
          <w:ilvl w:val="0"/>
          <w:numId w:val="42"/>
        </w:numPr>
      </w:pPr>
      <w:r>
        <w:rPr>
          <w:rFonts w:eastAsia="Arial"/>
        </w:rPr>
        <w:t>Working Together to Safeguard Children; and</w:t>
      </w:r>
    </w:p>
    <w:p w14:paraId="7FE85AF9" w14:textId="359766F9" w:rsidR="00C22FA9" w:rsidRDefault="004E7CD4" w:rsidP="002E4573">
      <w:pPr>
        <w:pStyle w:val="ListParagraph"/>
        <w:numPr>
          <w:ilvl w:val="0"/>
          <w:numId w:val="42"/>
        </w:numPr>
      </w:pPr>
      <w:r>
        <w:rPr>
          <w:rFonts w:eastAsia="Arial"/>
        </w:rPr>
        <w:t>Modern Slavery: statutory guidance for England and Wales and National Referral Mechanism guidance.</w:t>
      </w:r>
    </w:p>
    <w:p w14:paraId="0FF6ED9C" w14:textId="77777777" w:rsidR="00C22FA9" w:rsidRDefault="004E7CD4">
      <w:pPr>
        <w:pStyle w:val="Heading1"/>
        <w:spacing w:before="200" w:after="120"/>
      </w:pPr>
      <w:r>
        <w:rPr>
          <w:rFonts w:eastAsia="Arial"/>
        </w:rPr>
        <w:t>3. Scope and definitions</w:t>
      </w:r>
    </w:p>
    <w:p w14:paraId="0F06238F" w14:textId="77777777" w:rsidR="00C22FA9" w:rsidRDefault="004E7CD4">
      <w:pPr>
        <w:spacing w:before="0" w:after="160"/>
      </w:pPr>
      <w:r>
        <w:rPr>
          <w:rFonts w:eastAsia="Arial"/>
        </w:rPr>
        <w:t>This policy applies across Shapwick Manor, Church Farm and the Giggling Goat Cafe, including school transport, educational visits, work-related learning, recruitment, agency arrangements, procurement, estates work and services provided by contractors. It applies to employees at all levels, directors, governors, agency and seconded workers, volunteers, interns, agents, contractors, consultants, third-party representatives, suppliers and business partners working for or on behalf of Dovecote School or the Cav</w:t>
      </w:r>
      <w:r>
        <w:rPr>
          <w:rFonts w:eastAsia="Arial"/>
        </w:rPr>
        <w:t>endish Education Group.</w:t>
      </w:r>
    </w:p>
    <w:p w14:paraId="798EED07" w14:textId="77777777" w:rsidR="00C22FA9" w:rsidRDefault="004E7CD4">
      <w:pPr>
        <w:spacing w:before="0" w:after="160"/>
      </w:pPr>
      <w:r>
        <w:rPr>
          <w:rFonts w:eastAsia="Arial"/>
        </w:rPr>
        <w:t>Modern slavery includes slavery, servitude, forced or compulsory labour and human trafficking. It can affect adults or children and may involve coercion, threats, debt bondage, withheld wages or identity documents, worker-paid recruitment fees, restriction of movement, deceptive recruitment or abuse of vulnerability.</w:t>
      </w:r>
    </w:p>
    <w:p w14:paraId="7B281BB4" w14:textId="77777777" w:rsidR="00C22FA9" w:rsidRDefault="004E7CD4">
      <w:pPr>
        <w:pStyle w:val="Heading1"/>
        <w:spacing w:before="200" w:after="120"/>
      </w:pPr>
      <w:r>
        <w:rPr>
          <w:rFonts w:eastAsia="Arial"/>
        </w:rPr>
        <w:t>4. Responsibilities</w:t>
      </w:r>
    </w:p>
    <w:p w14:paraId="4CBBB376" w14:textId="77777777" w:rsidR="00C22FA9" w:rsidRDefault="004E7CD4">
      <w:pPr>
        <w:spacing w:before="0" w:after="160"/>
      </w:pPr>
      <w:r>
        <w:rPr>
          <w:rFonts w:eastAsia="Arial"/>
        </w:rPr>
        <w:t>The proprietor body has overall responsibility for this policy, oversight of material modern-slavery risks and approval of any statement required under section 54 of the Modern Slavery Act 2015. It receives proportionate assurance on risk assessment, due diligence, training, concerns, remediation and the effectiveness of controls.</w:t>
      </w:r>
    </w:p>
    <w:p w14:paraId="57E0A56F" w14:textId="77777777" w:rsidR="00C22FA9" w:rsidRDefault="004E7CD4">
      <w:pPr>
        <w:spacing w:before="0" w:after="160"/>
      </w:pPr>
      <w:r>
        <w:rPr>
          <w:rFonts w:eastAsia="Arial"/>
        </w:rPr>
        <w:lastRenderedPageBreak/>
        <w:t>The Cavendish Director of Risk, or other nominated Group compliance lead, coordinates Group implementation, maintains the Group risk assessment and action plan, supports procurement and human-resources due diligence, coordinates disclosures and reports material issues to the board.</w:t>
      </w:r>
    </w:p>
    <w:p w14:paraId="60377EEB" w14:textId="77777777" w:rsidR="00C22FA9" w:rsidRDefault="004E7CD4">
      <w:pPr>
        <w:spacing w:before="0" w:after="160"/>
      </w:pPr>
      <w:r>
        <w:rPr>
          <w:rFonts w:eastAsia="Arial"/>
        </w:rPr>
        <w:t>The Headteacher is accountable for effective local implementation and for ensuring that the school's safeguarding, employment, procurement and contractual arrangements support this policy.</w:t>
      </w:r>
    </w:p>
    <w:p w14:paraId="4C0CF747" w14:textId="77777777" w:rsidR="00C22FA9" w:rsidRDefault="004E7CD4">
      <w:pPr>
        <w:spacing w:before="0" w:after="160"/>
      </w:pPr>
      <w:r>
        <w:rPr>
          <w:rFonts w:eastAsia="Arial"/>
        </w:rPr>
        <w:t>The People, Resources and Compliance Manager coordinates local implementation, supports employment and supplier due diligence, keeps appropriate records, monitors training and escalates significant concerns through safeguarding or Cavendish Group routes as appropriate.</w:t>
      </w:r>
    </w:p>
    <w:p w14:paraId="28774CF0" w14:textId="77777777" w:rsidR="00C22FA9" w:rsidRDefault="004E7CD4">
      <w:pPr>
        <w:spacing w:before="0" w:after="160"/>
      </w:pPr>
      <w:r>
        <w:rPr>
          <w:rFonts w:eastAsia="Arial"/>
        </w:rPr>
        <w:t>The Designated Safeguarding Lead oversees any concern involving a child or adult at risk and ensures that referrals, information sharing, safety planning and multi-agency working follow current safeguarding requirements.</w:t>
      </w:r>
    </w:p>
    <w:p w14:paraId="03CF6D7B" w14:textId="77777777" w:rsidR="00C22FA9" w:rsidRDefault="004E7CD4">
      <w:pPr>
        <w:spacing w:before="0" w:after="160"/>
      </w:pPr>
      <w:r>
        <w:rPr>
          <w:rFonts w:eastAsia="Arial"/>
        </w:rPr>
        <w:t>Managers must ensure that those reporting to them understand and comply with this policy, receive appropriate information or training and escalate warning signs promptly. Everyone working for or on behalf of the school must help prevent, identify and report modern-slavery risks.</w:t>
      </w:r>
    </w:p>
    <w:p w14:paraId="47A7B670" w14:textId="77777777" w:rsidR="00C22FA9" w:rsidRDefault="004E7CD4">
      <w:pPr>
        <w:pStyle w:val="Heading1"/>
        <w:spacing w:before="200" w:after="120"/>
      </w:pPr>
      <w:r>
        <w:rPr>
          <w:rFonts w:eastAsia="Arial"/>
        </w:rPr>
        <w:t>5. Prevention and due diligence</w:t>
      </w:r>
    </w:p>
    <w:p w14:paraId="080ECDB8" w14:textId="77777777" w:rsidR="00C22FA9" w:rsidRDefault="004E7CD4">
      <w:pPr>
        <w:spacing w:before="0" w:after="160"/>
      </w:pPr>
      <w:r>
        <w:rPr>
          <w:rFonts w:eastAsia="Arial"/>
        </w:rPr>
        <w:t>Dovecote School applies proportionate, risk-based controls to recruitment, agencies, contracting and procurement. Higher-risk areas may include labour providers, transport, cleaning, catering, construction and estates services, subcontracting and supply chains extending outside the United Kingdom.</w:t>
      </w:r>
    </w:p>
    <w:p w14:paraId="3AF6B5F4" w14:textId="77777777" w:rsidR="00C22FA9" w:rsidRDefault="004E7CD4">
      <w:pPr>
        <w:spacing w:before="0" w:after="160"/>
      </w:pPr>
      <w:r>
        <w:rPr>
          <w:rFonts w:eastAsia="Arial"/>
        </w:rPr>
        <w:t>Controls will include, as appropriate:</w:t>
      </w:r>
    </w:p>
    <w:p w14:paraId="25AF2EA1" w14:textId="2D0412AF" w:rsidR="00C22FA9" w:rsidRDefault="004E7CD4" w:rsidP="002E4573">
      <w:pPr>
        <w:pStyle w:val="ListParagraph"/>
        <w:numPr>
          <w:ilvl w:val="0"/>
          <w:numId w:val="43"/>
        </w:numPr>
      </w:pPr>
      <w:r>
        <w:rPr>
          <w:rFonts w:eastAsia="Arial"/>
        </w:rPr>
        <w:t>safer recruitment, identity, right-to-work, reference and suitability checks;</w:t>
      </w:r>
    </w:p>
    <w:p w14:paraId="4C9C99EC" w14:textId="65846E4A" w:rsidR="00C22FA9" w:rsidRDefault="004E7CD4" w:rsidP="002E4573">
      <w:pPr>
        <w:pStyle w:val="ListParagraph"/>
        <w:numPr>
          <w:ilvl w:val="0"/>
          <w:numId w:val="43"/>
        </w:numPr>
      </w:pPr>
      <w:r>
        <w:rPr>
          <w:rFonts w:eastAsia="Arial"/>
        </w:rPr>
        <w:t>using authorised and appropriately checked employment businesses and labour providers;</w:t>
      </w:r>
    </w:p>
    <w:p w14:paraId="2EC9DEDB" w14:textId="248807EB" w:rsidR="00C22FA9" w:rsidRDefault="004E7CD4" w:rsidP="002E4573">
      <w:pPr>
        <w:pStyle w:val="ListParagraph"/>
        <w:numPr>
          <w:ilvl w:val="0"/>
          <w:numId w:val="43"/>
        </w:numPr>
      </w:pPr>
      <w:r>
        <w:rPr>
          <w:rFonts w:eastAsia="Arial"/>
        </w:rPr>
        <w:t>prohibiting worker-paid recruitment fees and the improper retention of identity documents;</w:t>
      </w:r>
    </w:p>
    <w:p w14:paraId="11775586" w14:textId="11A47F97" w:rsidR="00C22FA9" w:rsidRDefault="004E7CD4" w:rsidP="002E4573">
      <w:pPr>
        <w:pStyle w:val="ListParagraph"/>
        <w:numPr>
          <w:ilvl w:val="0"/>
          <w:numId w:val="43"/>
        </w:numPr>
      </w:pPr>
      <w:r>
        <w:rPr>
          <w:rFonts w:eastAsia="Arial"/>
        </w:rPr>
        <w:t>proportionate supplier and contractor due diligence before appointment and during performance;</w:t>
      </w:r>
    </w:p>
    <w:p w14:paraId="2A18A09E" w14:textId="6EBF86B0" w:rsidR="00C22FA9" w:rsidRDefault="004E7CD4" w:rsidP="002E4573">
      <w:pPr>
        <w:pStyle w:val="ListParagraph"/>
        <w:numPr>
          <w:ilvl w:val="0"/>
          <w:numId w:val="43"/>
        </w:numPr>
      </w:pPr>
      <w:r>
        <w:rPr>
          <w:rFonts w:eastAsia="Arial"/>
        </w:rPr>
        <w:t>contractual expectations relating to lawful recruitment, working conditions, notification of concerns, cooperation with enquiries and corrective action;</w:t>
      </w:r>
    </w:p>
    <w:p w14:paraId="0DD683F3" w14:textId="449F0F0A" w:rsidR="00C22FA9" w:rsidRDefault="004E7CD4" w:rsidP="002E4573">
      <w:pPr>
        <w:pStyle w:val="ListParagraph"/>
        <w:numPr>
          <w:ilvl w:val="0"/>
          <w:numId w:val="43"/>
        </w:numPr>
      </w:pPr>
      <w:r>
        <w:rPr>
          <w:rFonts w:eastAsia="Arial"/>
        </w:rPr>
        <w:t>scrutiny of subcontracting, wages, accommodation, freedom of movement and other credible risk indicators; and</w:t>
      </w:r>
    </w:p>
    <w:p w14:paraId="7990BDBE" w14:textId="2510CB46" w:rsidR="00C22FA9" w:rsidRDefault="004E7CD4" w:rsidP="002E4573">
      <w:pPr>
        <w:pStyle w:val="ListParagraph"/>
        <w:numPr>
          <w:ilvl w:val="0"/>
          <w:numId w:val="43"/>
        </w:numPr>
      </w:pPr>
      <w:r>
        <w:rPr>
          <w:rFonts w:eastAsia="Arial"/>
        </w:rPr>
        <w:t>recording, monitoring and escalating concerns and identified control weaknesses.</w:t>
      </w:r>
    </w:p>
    <w:p w14:paraId="40CC1244" w14:textId="77777777" w:rsidR="00C22FA9" w:rsidRDefault="004E7CD4">
      <w:pPr>
        <w:spacing w:before="0" w:after="160"/>
      </w:pPr>
      <w:r>
        <w:rPr>
          <w:rFonts w:eastAsia="Arial"/>
        </w:rPr>
        <w:t>Cavendish Education will assess annually whether the Group or any relevant entity must publish a slavery and human trafficking statement under section 54. Any required statement will cover the relevant financial year, be approved and signed as required and be published in accordance with the Act.</w:t>
      </w:r>
    </w:p>
    <w:p w14:paraId="6FE59870" w14:textId="77777777" w:rsidR="00C22FA9" w:rsidRDefault="004E7CD4">
      <w:pPr>
        <w:pStyle w:val="Heading1"/>
        <w:spacing w:before="200" w:after="120"/>
      </w:pPr>
      <w:r>
        <w:rPr>
          <w:rFonts w:eastAsia="Arial"/>
        </w:rPr>
        <w:lastRenderedPageBreak/>
        <w:t>6. Recognising possible modern slavery</w:t>
      </w:r>
    </w:p>
    <w:p w14:paraId="5615E371" w14:textId="77777777" w:rsidR="00C22FA9" w:rsidRDefault="004E7CD4">
      <w:pPr>
        <w:spacing w:before="0" w:after="160"/>
      </w:pPr>
      <w:r>
        <w:rPr>
          <w:rFonts w:eastAsia="Arial"/>
        </w:rPr>
        <w:t>Indicators may include a person appearing controlled or fearful, being unable to speak freely, having restricted movement, living in unsuitable or overcrowded accommodation, working excessive hours, receiving little or no pay, owing recruitment-related debt, lacking possession of identity documents, being transported under unusual arrangements or showing signs of neglect, injury or exploitation.</w:t>
      </w:r>
    </w:p>
    <w:p w14:paraId="20C34F7A" w14:textId="77777777" w:rsidR="00C22FA9" w:rsidRDefault="004E7CD4">
      <w:pPr>
        <w:spacing w:before="0" w:after="160"/>
      </w:pPr>
      <w:r>
        <w:rPr>
          <w:rFonts w:eastAsia="Arial"/>
        </w:rPr>
        <w:t>No single indicator proves that modern slavery is occurring. Staff do not need proof before raising a concern and must consider the person's age, communication needs, disability, trauma, dependency and other factors that may increase vulnerability or affect how concerns are expressed.</w:t>
      </w:r>
    </w:p>
    <w:p w14:paraId="7FCCC499" w14:textId="77777777" w:rsidR="00C22FA9" w:rsidRDefault="004E7CD4">
      <w:pPr>
        <w:pStyle w:val="Heading1"/>
        <w:spacing w:before="200" w:after="120"/>
      </w:pPr>
      <w:r>
        <w:rPr>
          <w:rFonts w:eastAsia="Arial"/>
        </w:rPr>
        <w:t>7. Reporting and responding to concerns</w:t>
      </w:r>
    </w:p>
    <w:p w14:paraId="6D9F1425" w14:textId="77777777" w:rsidR="00C22FA9" w:rsidRDefault="004E7CD4">
      <w:pPr>
        <w:spacing w:before="0" w:after="160"/>
      </w:pPr>
      <w:r>
        <w:rPr>
          <w:rFonts w:eastAsia="Arial"/>
        </w:rPr>
        <w:t xml:space="preserve">Any person who believes or suspects that modern slavery, exploitation or a breach of this policy has occurred or may occur must report it promptly. Concerns relating to employment, contractors or supply chains should be reported to a line manager or the People, Resources and Compliance Manager. Concerns involving a child or adult at risk must be reported immediately to the Designated Safeguarding Lead or a Deputy Designated Safeguarding Lead and recorded on MyConcern in accordance with the Safeguarding and </w:t>
      </w:r>
      <w:r>
        <w:rPr>
          <w:rFonts w:eastAsia="Arial"/>
        </w:rPr>
        <w:t>Child Protection Policy.</w:t>
      </w:r>
    </w:p>
    <w:p w14:paraId="0AD4C54F" w14:textId="77777777" w:rsidR="00C22FA9" w:rsidRDefault="004E7CD4">
      <w:pPr>
        <w:spacing w:before="0" w:after="160"/>
      </w:pPr>
      <w:r>
        <w:rPr>
          <w:rFonts w:eastAsia="Arial"/>
        </w:rPr>
        <w:t>If a person in the normal reporting route may be implicated or has a conflict of interest, the concern must be raised using the alternative route in the Whistleblowing Policy or directly with the appropriate Cavendish Group lead.</w:t>
      </w:r>
    </w:p>
    <w:p w14:paraId="1FA2108A" w14:textId="77777777" w:rsidR="00C22FA9" w:rsidRDefault="004E7CD4">
      <w:pPr>
        <w:spacing w:before="0" w:after="160"/>
      </w:pPr>
      <w:r>
        <w:rPr>
          <w:rFonts w:eastAsia="Arial"/>
        </w:rPr>
        <w:t>In an emergency, or where a crime is in progress or someone is in immediate danger, call 999. Do not confront a suspected exploiter, alert them to a report, conduct an unauthorised investigation or take action that could place a potential victim at greater risk. Preserve relevant information and follow safeguarding and incident-response instructions.</w:t>
      </w:r>
    </w:p>
    <w:p w14:paraId="27613163" w14:textId="77777777" w:rsidR="00C22FA9" w:rsidRDefault="004E7CD4">
      <w:pPr>
        <w:spacing w:before="0" w:after="160"/>
      </w:pPr>
      <w:r>
        <w:rPr>
          <w:rFonts w:eastAsia="Arial"/>
        </w:rPr>
        <w:t>The response will be prompt, victim-centred and trauma-informed. Decisions will take account of immediate safety, confidentiality, immigration concerns, communication needs and the risk of retaliation. Information will be shared lawfully and only with those who need it to safeguard, investigate or fulfil a legal duty.</w:t>
      </w:r>
    </w:p>
    <w:p w14:paraId="56B05FBB" w14:textId="77777777" w:rsidR="00C22FA9" w:rsidRDefault="004E7CD4">
      <w:pPr>
        <w:pStyle w:val="Heading1"/>
        <w:spacing w:before="200" w:after="120"/>
      </w:pPr>
      <w:r>
        <w:rPr>
          <w:rFonts w:eastAsia="Arial"/>
        </w:rPr>
        <w:t>8. National Referral Mechanism and external reporting</w:t>
      </w:r>
    </w:p>
    <w:p w14:paraId="47556EB0" w14:textId="77777777" w:rsidR="00C22FA9" w:rsidRDefault="004E7CD4">
      <w:pPr>
        <w:spacing w:before="0" w:after="160"/>
      </w:pPr>
      <w:r>
        <w:rPr>
          <w:rFonts w:eastAsia="Arial"/>
        </w:rPr>
        <w:t xml:space="preserve">The Designated Safeguarding Lead and relevant leaders will seek appropriate advice and make or support referrals to children's social care, the police, the local authority, the Modern Slavery Helpline or other relevant agencies when required. A referral into the National Referral Mechanism must be made by an authorised first responder. Consent requirements differ for adults and </w:t>
      </w:r>
      <w:proofErr w:type="gramStart"/>
      <w:r>
        <w:rPr>
          <w:rFonts w:eastAsia="Arial"/>
        </w:rPr>
        <w:t>children</w:t>
      </w:r>
      <w:proofErr w:type="gramEnd"/>
      <w:r>
        <w:rPr>
          <w:rFonts w:eastAsia="Arial"/>
        </w:rPr>
        <w:t xml:space="preserve"> and current statutory guidance must be followed.</w:t>
      </w:r>
    </w:p>
    <w:p w14:paraId="3384230A" w14:textId="77777777" w:rsidR="00C22FA9" w:rsidRDefault="004E7CD4">
      <w:pPr>
        <w:spacing w:before="0" w:after="160"/>
      </w:pPr>
      <w:r>
        <w:rPr>
          <w:rFonts w:eastAsia="Arial"/>
        </w:rPr>
        <w:t>Where a child may be affected, the school's Safeguarding and Child Protection Policy, Keeping Children Safe in Education and local safeguarding-partnership procedures take precedence. Records must set out the concern, action taken, decisions, reasons, advice received and outcome.</w:t>
      </w:r>
    </w:p>
    <w:p w14:paraId="6F410CF3" w14:textId="77777777" w:rsidR="00C22FA9" w:rsidRDefault="004E7CD4">
      <w:pPr>
        <w:pStyle w:val="Heading1"/>
        <w:spacing w:before="200" w:after="120"/>
      </w:pPr>
      <w:r>
        <w:rPr>
          <w:rFonts w:eastAsia="Arial"/>
        </w:rPr>
        <w:lastRenderedPageBreak/>
        <w:t>9. Training and awareness</w:t>
      </w:r>
    </w:p>
    <w:p w14:paraId="2D9AA9B5" w14:textId="77777777" w:rsidR="00C22FA9" w:rsidRDefault="004E7CD4">
      <w:pPr>
        <w:spacing w:before="0" w:after="160"/>
      </w:pPr>
      <w:r>
        <w:rPr>
          <w:rFonts w:eastAsia="Arial"/>
        </w:rPr>
        <w:t>Awareness of this policy forms part of induction. Refresher and enhanced role-based training will be provided according to risk, particularly for the proprietor body, senior leaders, Designated Safeguarding Leads, HR, recruitment, procurement, finance, estates and contract-management staff. Training will cover indicators, safe reporting, victim protection, due diligence, record keeping and lessons learned.</w:t>
      </w:r>
    </w:p>
    <w:p w14:paraId="216D6018" w14:textId="77777777" w:rsidR="00C22FA9" w:rsidRDefault="004E7CD4">
      <w:pPr>
        <w:spacing w:before="0" w:after="160"/>
      </w:pPr>
      <w:r>
        <w:rPr>
          <w:rFonts w:eastAsia="Arial"/>
        </w:rPr>
        <w:t>Relevant expectations will be communicated to suppliers, contractors and business partners at the outset and reinforced according to risk.</w:t>
      </w:r>
    </w:p>
    <w:p w14:paraId="7C0C3C4D" w14:textId="77777777" w:rsidR="00C22FA9" w:rsidRDefault="004E7CD4">
      <w:pPr>
        <w:pStyle w:val="Heading1"/>
        <w:spacing w:before="200" w:after="120"/>
      </w:pPr>
      <w:r>
        <w:rPr>
          <w:rFonts w:eastAsia="Arial"/>
        </w:rPr>
        <w:t>10. Protection and confidentiality</w:t>
      </w:r>
    </w:p>
    <w:p w14:paraId="7C725007" w14:textId="77777777" w:rsidR="00C22FA9" w:rsidRDefault="004E7CD4">
      <w:pPr>
        <w:spacing w:before="0" w:after="160"/>
      </w:pPr>
      <w:r>
        <w:rPr>
          <w:rFonts w:eastAsia="Arial"/>
        </w:rPr>
        <w:t>Dovecote School will support anyone who raises a genuine concern and will not tolerate retaliation. Eligible workers may have statutory protection where they make a qualifying protected disclosure and reasonably believe that it is in the public interest. An unsubstantiated concern raised with a reasonable belief must not itself result in adverse treatment.</w:t>
      </w:r>
    </w:p>
    <w:p w14:paraId="487518B3" w14:textId="77777777" w:rsidR="00C22FA9" w:rsidRDefault="004E7CD4">
      <w:pPr>
        <w:spacing w:before="0" w:after="160"/>
      </w:pPr>
      <w:r>
        <w:rPr>
          <w:rFonts w:eastAsia="Arial"/>
        </w:rPr>
        <w:t>Knowingly false or malicious allegations may be addressed under the relevant procedure. Anyone who believes they have suffered detrimental treatment should report this through the Whistleblowing or Grievance Policy or to the People, Resources and Compliance Manager.</w:t>
      </w:r>
    </w:p>
    <w:p w14:paraId="4F41641E" w14:textId="77777777" w:rsidR="00C22FA9" w:rsidRDefault="004E7CD4">
      <w:pPr>
        <w:pStyle w:val="Heading1"/>
        <w:spacing w:before="200" w:after="120"/>
      </w:pPr>
      <w:r>
        <w:rPr>
          <w:rFonts w:eastAsia="Arial"/>
        </w:rPr>
        <w:t>11. Breaches and remediation</w:t>
      </w:r>
    </w:p>
    <w:p w14:paraId="1AAAAB9E" w14:textId="77777777" w:rsidR="00C22FA9" w:rsidRDefault="004E7CD4">
      <w:pPr>
        <w:spacing w:before="0" w:after="160"/>
      </w:pPr>
      <w:r>
        <w:rPr>
          <w:rFonts w:eastAsia="Arial"/>
        </w:rPr>
        <w:t>An employee who breaches this policy may face disciplinary action, which could result in dismissal for misconduct or gross misconduct following a fair process. No outcome is predetermined and a potential victim must not be penalised for conduct arising directly from exploitation without appropriate assessment and advice.</w:t>
      </w:r>
    </w:p>
    <w:p w14:paraId="20868246" w14:textId="77777777" w:rsidR="00C22FA9" w:rsidRDefault="004E7CD4">
      <w:pPr>
        <w:spacing w:before="0" w:after="160"/>
      </w:pPr>
      <w:r>
        <w:rPr>
          <w:rFonts w:eastAsia="Arial"/>
        </w:rPr>
        <w:t>The school or Cavendish Education may suspend, remediate or terminate a relationship with an individual or organisation that breaches this policy. Decisions must prioritise potential victims' safety and consider whether abrupt termination could worsen harm. Corrective action may include worker remedy, repayment of recruitment fees or withheld wages, strengthened controls, verification and external reporting. Serious, continuing or unremedied concerns may result in termination.</w:t>
      </w:r>
    </w:p>
    <w:p w14:paraId="634081E8" w14:textId="77777777" w:rsidR="00C22FA9" w:rsidRDefault="004E7CD4">
      <w:pPr>
        <w:pStyle w:val="Heading1"/>
        <w:spacing w:before="200" w:after="120"/>
      </w:pPr>
      <w:r>
        <w:rPr>
          <w:rFonts w:eastAsia="Arial"/>
        </w:rPr>
        <w:t>12. Monitoring and review</w:t>
      </w:r>
    </w:p>
    <w:p w14:paraId="3CC49040" w14:textId="77777777" w:rsidR="00C22FA9" w:rsidRDefault="004E7CD4">
      <w:pPr>
        <w:spacing w:before="0" w:after="160"/>
      </w:pPr>
      <w:r>
        <w:rPr>
          <w:rFonts w:eastAsia="Arial"/>
        </w:rPr>
        <w:t>The People, Resources and Compliance Manager will monitor local implementation through recruitment and supplier checks, training records, concerns, safeguarding information, contract monitoring and identified actions. Material risks or concerns will be reported to the Headteacher and the appropriate Cavendish Group lead. The proprietor body will receive proportionate assurance about the effectiveness of controls.</w:t>
      </w:r>
    </w:p>
    <w:p w14:paraId="5BDEC176" w14:textId="77777777" w:rsidR="00C22FA9" w:rsidRDefault="004E7CD4">
      <w:pPr>
        <w:spacing w:before="0" w:after="160"/>
      </w:pPr>
      <w:r>
        <w:rPr>
          <w:rFonts w:eastAsia="Arial"/>
        </w:rPr>
        <w:t>This policy will be reviewed annually and sooner following relevant legislative, safeguarding or Cavendish Group change, a significant incident or evidence that controls are not effective.</w:t>
      </w:r>
    </w:p>
    <w:p w14:paraId="0BB0C062" w14:textId="77777777" w:rsidR="00C22FA9" w:rsidRDefault="004E7CD4">
      <w:pPr>
        <w:pStyle w:val="Heading1"/>
        <w:spacing w:before="200" w:after="120"/>
      </w:pPr>
      <w:r>
        <w:rPr>
          <w:rFonts w:eastAsia="Arial"/>
        </w:rPr>
        <w:lastRenderedPageBreak/>
        <w:t>13. Links with other policies</w:t>
      </w:r>
    </w:p>
    <w:p w14:paraId="16D13463" w14:textId="5C4E4659" w:rsidR="00C22FA9" w:rsidRDefault="004E7CD4" w:rsidP="002E4573">
      <w:pPr>
        <w:pStyle w:val="ListParagraph"/>
        <w:numPr>
          <w:ilvl w:val="0"/>
          <w:numId w:val="45"/>
        </w:numPr>
      </w:pPr>
      <w:r>
        <w:rPr>
          <w:rFonts w:eastAsia="Arial"/>
        </w:rPr>
        <w:t>Safeguarding and Child Protection Policy</w:t>
      </w:r>
    </w:p>
    <w:p w14:paraId="72D38A0F" w14:textId="10974F19" w:rsidR="00C22FA9" w:rsidRDefault="004E7CD4" w:rsidP="002E4573">
      <w:pPr>
        <w:pStyle w:val="ListParagraph"/>
        <w:numPr>
          <w:ilvl w:val="0"/>
          <w:numId w:val="45"/>
        </w:numPr>
      </w:pPr>
      <w:r>
        <w:rPr>
          <w:rFonts w:eastAsia="Arial"/>
        </w:rPr>
        <w:t>Whistleblowing Policy</w:t>
      </w:r>
    </w:p>
    <w:p w14:paraId="38646852" w14:textId="17C22F9A" w:rsidR="00C22FA9" w:rsidRDefault="004E7CD4" w:rsidP="002E4573">
      <w:pPr>
        <w:pStyle w:val="ListParagraph"/>
        <w:numPr>
          <w:ilvl w:val="0"/>
          <w:numId w:val="45"/>
        </w:numPr>
      </w:pPr>
      <w:r>
        <w:rPr>
          <w:rFonts w:eastAsia="Arial"/>
        </w:rPr>
        <w:t>Safer Recruitment Policy</w:t>
      </w:r>
    </w:p>
    <w:p w14:paraId="7F02E9D4" w14:textId="0FA8DF4B" w:rsidR="00C22FA9" w:rsidRDefault="004E7CD4" w:rsidP="002E4573">
      <w:pPr>
        <w:pStyle w:val="ListParagraph"/>
        <w:numPr>
          <w:ilvl w:val="0"/>
          <w:numId w:val="45"/>
        </w:numPr>
      </w:pPr>
      <w:r>
        <w:rPr>
          <w:rFonts w:eastAsia="Arial"/>
        </w:rPr>
        <w:t>Staff Code of Conduct</w:t>
      </w:r>
    </w:p>
    <w:p w14:paraId="2DD15444" w14:textId="5C8B0A80" w:rsidR="00C22FA9" w:rsidRDefault="004E7CD4" w:rsidP="002E4573">
      <w:pPr>
        <w:pStyle w:val="ListParagraph"/>
        <w:numPr>
          <w:ilvl w:val="0"/>
          <w:numId w:val="45"/>
        </w:numPr>
      </w:pPr>
      <w:r>
        <w:rPr>
          <w:rFonts w:eastAsia="Arial"/>
        </w:rPr>
        <w:t>Data Protection Policy</w:t>
      </w:r>
    </w:p>
    <w:p w14:paraId="529A7E0F" w14:textId="5D1EAA90" w:rsidR="00C22FA9" w:rsidRDefault="004E7CD4" w:rsidP="002E4573">
      <w:pPr>
        <w:pStyle w:val="ListParagraph"/>
        <w:numPr>
          <w:ilvl w:val="0"/>
          <w:numId w:val="45"/>
        </w:numPr>
      </w:pPr>
      <w:r>
        <w:rPr>
          <w:rFonts w:eastAsia="Arial"/>
        </w:rPr>
        <w:t>Risk Assessment Policy</w:t>
      </w:r>
    </w:p>
    <w:p w14:paraId="0BE2D8A0" w14:textId="7C823CE3" w:rsidR="00C22FA9" w:rsidRDefault="004E7CD4" w:rsidP="002E4573">
      <w:pPr>
        <w:pStyle w:val="ListParagraph"/>
        <w:numPr>
          <w:ilvl w:val="0"/>
          <w:numId w:val="45"/>
        </w:numPr>
      </w:pPr>
      <w:r>
        <w:rPr>
          <w:rFonts w:eastAsia="Arial"/>
        </w:rPr>
        <w:t>Complaints Policies</w:t>
      </w:r>
    </w:p>
    <w:p w14:paraId="189D1711" w14:textId="2B66C3DB" w:rsidR="00C22FA9" w:rsidRDefault="004E7CD4" w:rsidP="002E4573">
      <w:pPr>
        <w:pStyle w:val="ListParagraph"/>
        <w:numPr>
          <w:ilvl w:val="0"/>
          <w:numId w:val="45"/>
        </w:numPr>
      </w:pPr>
      <w:r>
        <w:rPr>
          <w:rFonts w:eastAsia="Arial"/>
        </w:rPr>
        <w:t>Health and Safety Policy</w:t>
      </w:r>
    </w:p>
    <w:p w14:paraId="5D8AAFB4" w14:textId="207477E9" w:rsidR="00C22FA9" w:rsidRDefault="004E7CD4" w:rsidP="002E4573">
      <w:pPr>
        <w:pStyle w:val="ListParagraph"/>
        <w:numPr>
          <w:ilvl w:val="0"/>
          <w:numId w:val="45"/>
        </w:numPr>
      </w:pPr>
      <w:r>
        <w:rPr>
          <w:rFonts w:eastAsia="Arial"/>
        </w:rPr>
        <w:t>Cavendish Education Modern Slavery Act Supplier Code of Conduct</w:t>
      </w:r>
    </w:p>
    <w:p w14:paraId="2C838600" w14:textId="2F28E6D5" w:rsidR="00C22FA9" w:rsidRDefault="004E7CD4" w:rsidP="002E4573">
      <w:pPr>
        <w:pStyle w:val="ListParagraph"/>
        <w:numPr>
          <w:ilvl w:val="0"/>
          <w:numId w:val="45"/>
        </w:numPr>
      </w:pPr>
      <w:r>
        <w:rPr>
          <w:rFonts w:eastAsia="Arial"/>
        </w:rPr>
        <w:t>Cavendish Education procurement and supplier due-diligence arrangements</w:t>
      </w:r>
    </w:p>
    <w:sectPr w:rsidR="00C22FA9" w:rsidSect="00EF7E4C">
      <w:headerReference w:type="default" r:id="rId12"/>
      <w:footerReference w:type="even" r:id="rId13"/>
      <w:footerReference w:type="default" r:id="rId14"/>
      <w:pgSz w:w="11900" w:h="16840"/>
      <w:pgMar w:top="851"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F5807" w14:textId="77777777" w:rsidR="004E7CD4" w:rsidRDefault="004E7CD4" w:rsidP="000C37B6">
      <w:r>
        <w:separator/>
      </w:r>
    </w:p>
  </w:endnote>
  <w:endnote w:type="continuationSeparator" w:id="0">
    <w:p w14:paraId="35214FCB" w14:textId="77777777" w:rsidR="004E7CD4" w:rsidRDefault="004E7CD4" w:rsidP="000C37B6">
      <w:r>
        <w:continuationSeparator/>
      </w:r>
    </w:p>
  </w:endnote>
  <w:endnote w:type="continuationNotice" w:id="1">
    <w:p w14:paraId="25068A81" w14:textId="77777777" w:rsidR="004E7CD4" w:rsidRDefault="004E7CD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ckwell Nova">
    <w:altName w:val="Cambria"/>
    <w:charset w:val="00"/>
    <w:family w:val="roman"/>
    <w:pitch w:val="variable"/>
    <w:sig w:usb0="80000287"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Lucida Grande">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0ACA8" w14:textId="77777777" w:rsidR="00AC70BE" w:rsidRDefault="00AC70BE" w:rsidP="000C37B6">
    <w:pPr>
      <w:pStyle w:val="Footer"/>
      <w:rPr>
        <w:rStyle w:val="PageNumber"/>
      </w:rPr>
    </w:pPr>
    <w:r>
      <w:rPr>
        <w:rStyle w:val="PageNumber"/>
      </w:rPr>
      <w:fldChar w:fldCharType="begin"/>
    </w:r>
    <w:r>
      <w:rPr>
        <w:rStyle w:val="PageNumber"/>
      </w:rPr>
      <w:instrText xml:space="preserve">PAGE  </w:instrText>
    </w:r>
    <w:r w:rsidR="002E4573">
      <w:rPr>
        <w:rStyle w:val="PageNumber"/>
      </w:rPr>
      <w:fldChar w:fldCharType="separate"/>
    </w:r>
    <w:r w:rsidR="002E4573">
      <w:rPr>
        <w:rStyle w:val="PageNumber"/>
        <w:noProof/>
      </w:rPr>
      <w:t>14</w:t>
    </w:r>
    <w:r>
      <w:rPr>
        <w:rStyle w:val="PageNumber"/>
      </w:rPr>
      <w:fldChar w:fldCharType="end"/>
    </w:r>
  </w:p>
  <w:p w14:paraId="764CA0EA" w14:textId="77777777" w:rsidR="00AC70BE" w:rsidRDefault="00AC70BE" w:rsidP="000C3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2CF31" w14:textId="77777777" w:rsidR="003A0C47" w:rsidRDefault="003A0C47" w:rsidP="000C37B6">
    <w:pPr>
      <w:pStyle w:val="Footer"/>
      <w:spacing w:before="80"/>
      <w:jc w:val="center"/>
    </w:pPr>
    <w:r>
      <w:rPr>
        <w:rFonts w:eastAsia="Arial"/>
        <w:sz w:val="20"/>
      </w:rPr>
      <w:t xml:space="preserve">DC115 Modern Slavery and Human Trafficking Policy | Page </w:t>
    </w:r>
    <w:r>
      <w:fldChar w:fldCharType="begin"/>
    </w:r>
    <w:r>
      <w:instrText>PAGE</w:instrText>
    </w:r>
    <w:r>
      <w:fldChar w:fldCharType="separate"/>
    </w:r>
    <w:r>
      <w:rPr>
        <w:sz w:val="20"/>
      </w:rPr>
      <w:t>1</w:t>
    </w:r>
    <w:r>
      <w:fldChar w:fldCharType="end"/>
    </w:r>
    <w:r>
      <w:rPr>
        <w:rFonts w:eastAsia="Arial"/>
        <w:sz w:val="20"/>
      </w:rPr>
      <w:t xml:space="preserve"> of </w:t>
    </w:r>
    <w:r>
      <w:fldChar w:fldCharType="begin"/>
    </w:r>
    <w:r>
      <w:instrText>NUMPAGES</w:instrText>
    </w:r>
    <w:r>
      <w:fldChar w:fldCharType="separate"/>
    </w:r>
    <w:r>
      <w:rPr>
        <w:sz w:val="20"/>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46ED4" w14:textId="77777777" w:rsidR="004E7CD4" w:rsidRDefault="004E7CD4" w:rsidP="000C37B6">
      <w:r>
        <w:separator/>
      </w:r>
    </w:p>
  </w:footnote>
  <w:footnote w:type="continuationSeparator" w:id="0">
    <w:p w14:paraId="738E76BF" w14:textId="77777777" w:rsidR="004E7CD4" w:rsidRDefault="004E7CD4" w:rsidP="000C37B6">
      <w:r>
        <w:continuationSeparator/>
      </w:r>
    </w:p>
  </w:footnote>
  <w:footnote w:type="continuationNotice" w:id="1">
    <w:p w14:paraId="1822AF2A" w14:textId="77777777" w:rsidR="004E7CD4" w:rsidRDefault="004E7CD4">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A254" w14:textId="77777777" w:rsidR="00C22FA9" w:rsidRDefault="00C22FA9">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2AB"/>
    <w:multiLevelType w:val="hybridMultilevel"/>
    <w:tmpl w:val="4AC60C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A1D07"/>
    <w:multiLevelType w:val="hybridMultilevel"/>
    <w:tmpl w:val="7C621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31BF0"/>
    <w:multiLevelType w:val="hybridMultilevel"/>
    <w:tmpl w:val="A27E2834"/>
    <w:lvl w:ilvl="0" w:tplc="EC1A208A">
      <w:numFmt w:val="bullet"/>
      <w:lvlText w:val="•"/>
      <w:lvlJc w:val="left"/>
      <w:pPr>
        <w:ind w:left="504" w:hanging="360"/>
      </w:pPr>
      <w:rPr>
        <w:rFonts w:ascii="Arial" w:eastAsia="Arial" w:hAnsi="Arial" w:cs="Arial"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3" w15:restartNumberingAfterBreak="0">
    <w:nsid w:val="08E326C2"/>
    <w:multiLevelType w:val="hybridMultilevel"/>
    <w:tmpl w:val="14AC7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E0095A"/>
    <w:multiLevelType w:val="hybridMultilevel"/>
    <w:tmpl w:val="D2B63EFC"/>
    <w:lvl w:ilvl="0" w:tplc="08090001">
      <w:start w:val="1"/>
      <w:numFmt w:val="bullet"/>
      <w:lvlText w:val=""/>
      <w:lvlJc w:val="left"/>
      <w:pPr>
        <w:ind w:left="720" w:hanging="360"/>
      </w:pPr>
      <w:rPr>
        <w:rFonts w:ascii="Symbol" w:hAnsi="Symbol" w:cs="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0AEB082A"/>
    <w:multiLevelType w:val="hybridMultilevel"/>
    <w:tmpl w:val="AF0E4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8927F3"/>
    <w:multiLevelType w:val="hybridMultilevel"/>
    <w:tmpl w:val="8414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6E63B7"/>
    <w:multiLevelType w:val="hybridMultilevel"/>
    <w:tmpl w:val="E508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C865DD"/>
    <w:multiLevelType w:val="hybridMultilevel"/>
    <w:tmpl w:val="43986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AE5D08"/>
    <w:multiLevelType w:val="hybridMultilevel"/>
    <w:tmpl w:val="87A42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C85854"/>
    <w:multiLevelType w:val="hybridMultilevel"/>
    <w:tmpl w:val="C0C27F22"/>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1" w15:restartNumberingAfterBreak="0">
    <w:nsid w:val="161C5D7F"/>
    <w:multiLevelType w:val="hybridMultilevel"/>
    <w:tmpl w:val="2F32E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8D538D"/>
    <w:multiLevelType w:val="hybridMultilevel"/>
    <w:tmpl w:val="3B2EB5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18407F59"/>
    <w:multiLevelType w:val="hybridMultilevel"/>
    <w:tmpl w:val="A1C6D9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0751F1"/>
    <w:multiLevelType w:val="hybridMultilevel"/>
    <w:tmpl w:val="83609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653F2A"/>
    <w:multiLevelType w:val="hybridMultilevel"/>
    <w:tmpl w:val="FA3EAE7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5C23DC9"/>
    <w:multiLevelType w:val="multilevel"/>
    <w:tmpl w:val="04B8533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2A6403B4"/>
    <w:multiLevelType w:val="hybridMultilevel"/>
    <w:tmpl w:val="871CC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F50D1B"/>
    <w:multiLevelType w:val="hybridMultilevel"/>
    <w:tmpl w:val="FA88C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9F0542"/>
    <w:multiLevelType w:val="hybridMultilevel"/>
    <w:tmpl w:val="E32479C2"/>
    <w:lvl w:ilvl="0" w:tplc="08090001">
      <w:start w:val="1"/>
      <w:numFmt w:val="bullet"/>
      <w:lvlText w:val=""/>
      <w:lvlJc w:val="left"/>
      <w:pPr>
        <w:ind w:left="720" w:hanging="360"/>
      </w:pPr>
      <w:rPr>
        <w:rFonts w:ascii="Symbol" w:hAnsi="Symbol" w:cs="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35DD204A"/>
    <w:multiLevelType w:val="hybridMultilevel"/>
    <w:tmpl w:val="9AA05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7E3C89"/>
    <w:multiLevelType w:val="multilevel"/>
    <w:tmpl w:val="0D083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B07A07"/>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6B0ECE"/>
    <w:multiLevelType w:val="hybridMultilevel"/>
    <w:tmpl w:val="A12815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334701F"/>
    <w:multiLevelType w:val="hybridMultilevel"/>
    <w:tmpl w:val="2B4A1BD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3B66537"/>
    <w:multiLevelType w:val="hybridMultilevel"/>
    <w:tmpl w:val="71A43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257B01"/>
    <w:multiLevelType w:val="hybridMultilevel"/>
    <w:tmpl w:val="694A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6D4E77"/>
    <w:multiLevelType w:val="hybridMultilevel"/>
    <w:tmpl w:val="E7E8476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9" w15:restartNumberingAfterBreak="0">
    <w:nsid w:val="4BCE6182"/>
    <w:multiLevelType w:val="hybridMultilevel"/>
    <w:tmpl w:val="E570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0C2FB5"/>
    <w:multiLevelType w:val="multilevel"/>
    <w:tmpl w:val="E9FAC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6832CA"/>
    <w:multiLevelType w:val="hybridMultilevel"/>
    <w:tmpl w:val="D23AB576"/>
    <w:lvl w:ilvl="0" w:tplc="00AE595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E51133"/>
    <w:multiLevelType w:val="hybridMultilevel"/>
    <w:tmpl w:val="0F6035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5E20543"/>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F141A1"/>
    <w:multiLevelType w:val="hybridMultilevel"/>
    <w:tmpl w:val="90A69780"/>
    <w:lvl w:ilvl="0" w:tplc="85DCF24C">
      <w:start w:val="1"/>
      <w:numFmt w:val="bullet"/>
      <w:pStyle w:val="ColorfulList-Accent11"/>
      <w:lvlText w:val=""/>
      <w:lvlJc w:val="left"/>
      <w:pPr>
        <w:ind w:left="6328" w:hanging="360"/>
      </w:pPr>
      <w:rPr>
        <w:rFonts w:ascii="Symbol" w:hAnsi="Symbol" w:hint="default"/>
      </w:rPr>
    </w:lvl>
    <w:lvl w:ilvl="1" w:tplc="08090003" w:tentative="1">
      <w:start w:val="1"/>
      <w:numFmt w:val="bullet"/>
      <w:lvlText w:val="o"/>
      <w:lvlJc w:val="left"/>
      <w:pPr>
        <w:ind w:left="7048" w:hanging="360"/>
      </w:pPr>
      <w:rPr>
        <w:rFonts w:ascii="Courier New" w:hAnsi="Courier New" w:cs="Courier New" w:hint="default"/>
      </w:rPr>
    </w:lvl>
    <w:lvl w:ilvl="2" w:tplc="08090005" w:tentative="1">
      <w:start w:val="1"/>
      <w:numFmt w:val="bullet"/>
      <w:lvlText w:val=""/>
      <w:lvlJc w:val="left"/>
      <w:pPr>
        <w:ind w:left="7768" w:hanging="360"/>
      </w:pPr>
      <w:rPr>
        <w:rFonts w:ascii="Wingdings" w:hAnsi="Wingdings" w:hint="default"/>
      </w:rPr>
    </w:lvl>
    <w:lvl w:ilvl="3" w:tplc="08090001" w:tentative="1">
      <w:start w:val="1"/>
      <w:numFmt w:val="bullet"/>
      <w:lvlText w:val=""/>
      <w:lvlJc w:val="left"/>
      <w:pPr>
        <w:ind w:left="8488" w:hanging="360"/>
      </w:pPr>
      <w:rPr>
        <w:rFonts w:ascii="Symbol" w:hAnsi="Symbol" w:hint="default"/>
      </w:rPr>
    </w:lvl>
    <w:lvl w:ilvl="4" w:tplc="08090003" w:tentative="1">
      <w:start w:val="1"/>
      <w:numFmt w:val="bullet"/>
      <w:lvlText w:val="o"/>
      <w:lvlJc w:val="left"/>
      <w:pPr>
        <w:ind w:left="9208" w:hanging="360"/>
      </w:pPr>
      <w:rPr>
        <w:rFonts w:ascii="Courier New" w:hAnsi="Courier New" w:cs="Courier New" w:hint="default"/>
      </w:rPr>
    </w:lvl>
    <w:lvl w:ilvl="5" w:tplc="08090005" w:tentative="1">
      <w:start w:val="1"/>
      <w:numFmt w:val="bullet"/>
      <w:lvlText w:val=""/>
      <w:lvlJc w:val="left"/>
      <w:pPr>
        <w:ind w:left="9928" w:hanging="360"/>
      </w:pPr>
      <w:rPr>
        <w:rFonts w:ascii="Wingdings" w:hAnsi="Wingdings" w:hint="default"/>
      </w:rPr>
    </w:lvl>
    <w:lvl w:ilvl="6" w:tplc="08090001" w:tentative="1">
      <w:start w:val="1"/>
      <w:numFmt w:val="bullet"/>
      <w:lvlText w:val=""/>
      <w:lvlJc w:val="left"/>
      <w:pPr>
        <w:ind w:left="10648" w:hanging="360"/>
      </w:pPr>
      <w:rPr>
        <w:rFonts w:ascii="Symbol" w:hAnsi="Symbol" w:hint="default"/>
      </w:rPr>
    </w:lvl>
    <w:lvl w:ilvl="7" w:tplc="08090003" w:tentative="1">
      <w:start w:val="1"/>
      <w:numFmt w:val="bullet"/>
      <w:lvlText w:val="o"/>
      <w:lvlJc w:val="left"/>
      <w:pPr>
        <w:ind w:left="11368" w:hanging="360"/>
      </w:pPr>
      <w:rPr>
        <w:rFonts w:ascii="Courier New" w:hAnsi="Courier New" w:cs="Courier New" w:hint="default"/>
      </w:rPr>
    </w:lvl>
    <w:lvl w:ilvl="8" w:tplc="08090005" w:tentative="1">
      <w:start w:val="1"/>
      <w:numFmt w:val="bullet"/>
      <w:lvlText w:val=""/>
      <w:lvlJc w:val="left"/>
      <w:pPr>
        <w:ind w:left="12088" w:hanging="360"/>
      </w:pPr>
      <w:rPr>
        <w:rFonts w:ascii="Wingdings" w:hAnsi="Wingdings" w:hint="default"/>
      </w:rPr>
    </w:lvl>
  </w:abstractNum>
  <w:abstractNum w:abstractNumId="35" w15:restartNumberingAfterBreak="0">
    <w:nsid w:val="5F593087"/>
    <w:multiLevelType w:val="hybridMultilevel"/>
    <w:tmpl w:val="AC002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BA7B5D"/>
    <w:multiLevelType w:val="hybridMultilevel"/>
    <w:tmpl w:val="9D182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82372B"/>
    <w:multiLevelType w:val="multilevel"/>
    <w:tmpl w:val="4824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D53DE6"/>
    <w:multiLevelType w:val="hybridMultilevel"/>
    <w:tmpl w:val="36560D56"/>
    <w:lvl w:ilvl="0" w:tplc="63BEF66C">
      <w:numFmt w:val="bullet"/>
      <w:lvlText w:val="•"/>
      <w:lvlJc w:val="left"/>
      <w:pPr>
        <w:ind w:left="504" w:hanging="360"/>
      </w:pPr>
      <w:rPr>
        <w:rFonts w:ascii="Arial" w:eastAsia="Arial" w:hAnsi="Arial" w:cs="Arial"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39" w15:restartNumberingAfterBreak="0">
    <w:nsid w:val="64D75A81"/>
    <w:multiLevelType w:val="hybridMultilevel"/>
    <w:tmpl w:val="99EC7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DD1C86"/>
    <w:multiLevelType w:val="multilevel"/>
    <w:tmpl w:val="CDDAA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EE6460"/>
    <w:multiLevelType w:val="multilevel"/>
    <w:tmpl w:val="064A85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7B18289F"/>
    <w:multiLevelType w:val="hybridMultilevel"/>
    <w:tmpl w:val="4D1CB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7232984">
    <w:abstractNumId w:val="19"/>
  </w:num>
  <w:num w:numId="2" w16cid:durableId="680473367">
    <w:abstractNumId w:val="34"/>
  </w:num>
  <w:num w:numId="3" w16cid:durableId="1992784296">
    <w:abstractNumId w:val="8"/>
  </w:num>
  <w:num w:numId="4" w16cid:durableId="907106593">
    <w:abstractNumId w:val="26"/>
  </w:num>
  <w:num w:numId="5" w16cid:durableId="977077508">
    <w:abstractNumId w:val="5"/>
  </w:num>
  <w:num w:numId="6" w16cid:durableId="1337074090">
    <w:abstractNumId w:val="14"/>
  </w:num>
  <w:num w:numId="7" w16cid:durableId="131480438">
    <w:abstractNumId w:val="9"/>
  </w:num>
  <w:num w:numId="8" w16cid:durableId="1939675809">
    <w:abstractNumId w:val="23"/>
  </w:num>
  <w:num w:numId="9" w16cid:durableId="1968510533">
    <w:abstractNumId w:val="13"/>
  </w:num>
  <w:num w:numId="10" w16cid:durableId="285239753">
    <w:abstractNumId w:val="39"/>
  </w:num>
  <w:num w:numId="11" w16cid:durableId="1299409720">
    <w:abstractNumId w:val="36"/>
  </w:num>
  <w:num w:numId="12" w16cid:durableId="1319577317">
    <w:abstractNumId w:val="27"/>
  </w:num>
  <w:num w:numId="13" w16cid:durableId="1613435777">
    <w:abstractNumId w:val="15"/>
  </w:num>
  <w:num w:numId="14" w16cid:durableId="563685284">
    <w:abstractNumId w:val="24"/>
  </w:num>
  <w:num w:numId="15" w16cid:durableId="2119400071">
    <w:abstractNumId w:val="29"/>
  </w:num>
  <w:num w:numId="16" w16cid:durableId="313874711">
    <w:abstractNumId w:val="1"/>
  </w:num>
  <w:num w:numId="17" w16cid:durableId="1690717961">
    <w:abstractNumId w:val="7"/>
  </w:num>
  <w:num w:numId="18" w16cid:durableId="1124890292">
    <w:abstractNumId w:val="16"/>
  </w:num>
  <w:num w:numId="19" w16cid:durableId="1251398">
    <w:abstractNumId w:val="11"/>
  </w:num>
  <w:num w:numId="20" w16cid:durableId="735788381">
    <w:abstractNumId w:val="33"/>
  </w:num>
  <w:num w:numId="21" w16cid:durableId="1085762591">
    <w:abstractNumId w:val="0"/>
  </w:num>
  <w:num w:numId="22" w16cid:durableId="1957178971">
    <w:abstractNumId w:val="21"/>
  </w:num>
  <w:num w:numId="23" w16cid:durableId="1490946565">
    <w:abstractNumId w:val="6"/>
  </w:num>
  <w:num w:numId="24" w16cid:durableId="1712345416">
    <w:abstractNumId w:val="21"/>
  </w:num>
  <w:num w:numId="25" w16cid:durableId="482158768">
    <w:abstractNumId w:val="12"/>
  </w:num>
  <w:num w:numId="26" w16cid:durableId="1347706981">
    <w:abstractNumId w:val="19"/>
  </w:num>
  <w:num w:numId="27" w16cid:durableId="1506703539">
    <w:abstractNumId w:val="10"/>
  </w:num>
  <w:num w:numId="28" w16cid:durableId="16968871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7223988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20123473">
    <w:abstractNumId w:val="4"/>
  </w:num>
  <w:num w:numId="31" w16cid:durableId="1710178938">
    <w:abstractNumId w:val="32"/>
  </w:num>
  <w:num w:numId="32" w16cid:durableId="1075782756">
    <w:abstractNumId w:val="35"/>
  </w:num>
  <w:num w:numId="33" w16cid:durableId="1402606420">
    <w:abstractNumId w:val="18"/>
  </w:num>
  <w:num w:numId="34" w16cid:durableId="430586005">
    <w:abstractNumId w:val="40"/>
  </w:num>
  <w:num w:numId="35" w16cid:durableId="531920837">
    <w:abstractNumId w:val="22"/>
  </w:num>
  <w:num w:numId="36" w16cid:durableId="1415006515">
    <w:abstractNumId w:val="17"/>
  </w:num>
  <w:num w:numId="37" w16cid:durableId="25565477">
    <w:abstractNumId w:val="41"/>
  </w:num>
  <w:num w:numId="38" w16cid:durableId="1161385344">
    <w:abstractNumId w:val="30"/>
  </w:num>
  <w:num w:numId="39" w16cid:durableId="1058940415">
    <w:abstractNumId w:val="37"/>
  </w:num>
  <w:num w:numId="40" w16cid:durableId="1107849221">
    <w:abstractNumId w:val="28"/>
  </w:num>
  <w:num w:numId="41" w16cid:durableId="1549220957">
    <w:abstractNumId w:val="31"/>
  </w:num>
  <w:num w:numId="42" w16cid:durableId="327172207">
    <w:abstractNumId w:val="25"/>
  </w:num>
  <w:num w:numId="43" w16cid:durableId="701325975">
    <w:abstractNumId w:val="42"/>
  </w:num>
  <w:num w:numId="44" w16cid:durableId="527793726">
    <w:abstractNumId w:val="2"/>
  </w:num>
  <w:num w:numId="45" w16cid:durableId="829173012">
    <w:abstractNumId w:val="3"/>
  </w:num>
  <w:num w:numId="46" w16cid:durableId="2067292514">
    <w:abstractNumId w:val="3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2B24"/>
    <w:rsid w:val="0000418A"/>
    <w:rsid w:val="000041A2"/>
    <w:rsid w:val="00010427"/>
    <w:rsid w:val="00012A4F"/>
    <w:rsid w:val="00014EB2"/>
    <w:rsid w:val="00016B49"/>
    <w:rsid w:val="00016F6D"/>
    <w:rsid w:val="0001772B"/>
    <w:rsid w:val="00021AF1"/>
    <w:rsid w:val="00021D12"/>
    <w:rsid w:val="00022314"/>
    <w:rsid w:val="00023E6E"/>
    <w:rsid w:val="0002420D"/>
    <w:rsid w:val="00024379"/>
    <w:rsid w:val="000258A7"/>
    <w:rsid w:val="00026144"/>
    <w:rsid w:val="00026700"/>
    <w:rsid w:val="0002773D"/>
    <w:rsid w:val="00032D87"/>
    <w:rsid w:val="00032FDA"/>
    <w:rsid w:val="00033D6D"/>
    <w:rsid w:val="00035530"/>
    <w:rsid w:val="00041C65"/>
    <w:rsid w:val="00042646"/>
    <w:rsid w:val="00043D9F"/>
    <w:rsid w:val="00044D7A"/>
    <w:rsid w:val="00046E23"/>
    <w:rsid w:val="00047941"/>
    <w:rsid w:val="00050DC7"/>
    <w:rsid w:val="00053AE4"/>
    <w:rsid w:val="00055AF9"/>
    <w:rsid w:val="00055FA3"/>
    <w:rsid w:val="00057F29"/>
    <w:rsid w:val="00062A5F"/>
    <w:rsid w:val="00064BD0"/>
    <w:rsid w:val="000672EE"/>
    <w:rsid w:val="00070DD1"/>
    <w:rsid w:val="00071AD4"/>
    <w:rsid w:val="00072C8E"/>
    <w:rsid w:val="000745B2"/>
    <w:rsid w:val="0007594F"/>
    <w:rsid w:val="00076C10"/>
    <w:rsid w:val="00080C4B"/>
    <w:rsid w:val="00086828"/>
    <w:rsid w:val="000904C0"/>
    <w:rsid w:val="00094882"/>
    <w:rsid w:val="0009569D"/>
    <w:rsid w:val="000978F6"/>
    <w:rsid w:val="00097A19"/>
    <w:rsid w:val="000A024C"/>
    <w:rsid w:val="000A2866"/>
    <w:rsid w:val="000A2E5F"/>
    <w:rsid w:val="000A32F8"/>
    <w:rsid w:val="000A4735"/>
    <w:rsid w:val="000A51B2"/>
    <w:rsid w:val="000B207A"/>
    <w:rsid w:val="000B2986"/>
    <w:rsid w:val="000B321D"/>
    <w:rsid w:val="000B5AF4"/>
    <w:rsid w:val="000B64EC"/>
    <w:rsid w:val="000B6920"/>
    <w:rsid w:val="000B7B91"/>
    <w:rsid w:val="000C3014"/>
    <w:rsid w:val="000C37B6"/>
    <w:rsid w:val="000C5C80"/>
    <w:rsid w:val="000C75B7"/>
    <w:rsid w:val="000D050F"/>
    <w:rsid w:val="000D0F7B"/>
    <w:rsid w:val="000D704E"/>
    <w:rsid w:val="000E011E"/>
    <w:rsid w:val="000E0D72"/>
    <w:rsid w:val="000E1DC6"/>
    <w:rsid w:val="000E29BC"/>
    <w:rsid w:val="000E3F5F"/>
    <w:rsid w:val="000F36F7"/>
    <w:rsid w:val="000F5255"/>
    <w:rsid w:val="0011340D"/>
    <w:rsid w:val="0011435C"/>
    <w:rsid w:val="00114978"/>
    <w:rsid w:val="00120294"/>
    <w:rsid w:val="00120428"/>
    <w:rsid w:val="00121218"/>
    <w:rsid w:val="00124FAA"/>
    <w:rsid w:val="001265C7"/>
    <w:rsid w:val="001272D5"/>
    <w:rsid w:val="001300AC"/>
    <w:rsid w:val="001303E9"/>
    <w:rsid w:val="00130D08"/>
    <w:rsid w:val="00135B35"/>
    <w:rsid w:val="00137E4B"/>
    <w:rsid w:val="00142124"/>
    <w:rsid w:val="00142566"/>
    <w:rsid w:val="00142881"/>
    <w:rsid w:val="00147DF8"/>
    <w:rsid w:val="00154D4A"/>
    <w:rsid w:val="00155BC3"/>
    <w:rsid w:val="00157BDE"/>
    <w:rsid w:val="00160511"/>
    <w:rsid w:val="00162D2F"/>
    <w:rsid w:val="0016303E"/>
    <w:rsid w:val="0016370A"/>
    <w:rsid w:val="001654AD"/>
    <w:rsid w:val="0016614D"/>
    <w:rsid w:val="00166B5A"/>
    <w:rsid w:val="00166DF3"/>
    <w:rsid w:val="00166EEE"/>
    <w:rsid w:val="00167714"/>
    <w:rsid w:val="00167BA4"/>
    <w:rsid w:val="00172533"/>
    <w:rsid w:val="00173DAE"/>
    <w:rsid w:val="001754D8"/>
    <w:rsid w:val="0017700E"/>
    <w:rsid w:val="00182678"/>
    <w:rsid w:val="00185205"/>
    <w:rsid w:val="0018534B"/>
    <w:rsid w:val="00186679"/>
    <w:rsid w:val="00187BFB"/>
    <w:rsid w:val="00187F51"/>
    <w:rsid w:val="00190890"/>
    <w:rsid w:val="00190926"/>
    <w:rsid w:val="00192776"/>
    <w:rsid w:val="00192AD5"/>
    <w:rsid w:val="00194C23"/>
    <w:rsid w:val="001A1AE7"/>
    <w:rsid w:val="001A2F49"/>
    <w:rsid w:val="001A3378"/>
    <w:rsid w:val="001A51A1"/>
    <w:rsid w:val="001A53FB"/>
    <w:rsid w:val="001A5B70"/>
    <w:rsid w:val="001B0588"/>
    <w:rsid w:val="001B160C"/>
    <w:rsid w:val="001B18D5"/>
    <w:rsid w:val="001B1B15"/>
    <w:rsid w:val="001B2B95"/>
    <w:rsid w:val="001B37D1"/>
    <w:rsid w:val="001B3939"/>
    <w:rsid w:val="001B62F0"/>
    <w:rsid w:val="001B7611"/>
    <w:rsid w:val="001C129A"/>
    <w:rsid w:val="001C13E4"/>
    <w:rsid w:val="001C1B9E"/>
    <w:rsid w:val="001C44AF"/>
    <w:rsid w:val="001C7A13"/>
    <w:rsid w:val="001C7E49"/>
    <w:rsid w:val="001D00DD"/>
    <w:rsid w:val="001D2652"/>
    <w:rsid w:val="001D35C5"/>
    <w:rsid w:val="001D40F2"/>
    <w:rsid w:val="001D484D"/>
    <w:rsid w:val="001D6630"/>
    <w:rsid w:val="001D794C"/>
    <w:rsid w:val="001D7A1F"/>
    <w:rsid w:val="001E1FDB"/>
    <w:rsid w:val="001E259E"/>
    <w:rsid w:val="001E4B1E"/>
    <w:rsid w:val="001E5F69"/>
    <w:rsid w:val="001F0C08"/>
    <w:rsid w:val="001F2562"/>
    <w:rsid w:val="001F2B3E"/>
    <w:rsid w:val="001F39D6"/>
    <w:rsid w:val="001F3BF7"/>
    <w:rsid w:val="001F41BB"/>
    <w:rsid w:val="001F4A23"/>
    <w:rsid w:val="001F5017"/>
    <w:rsid w:val="001F5AA9"/>
    <w:rsid w:val="001F6B2E"/>
    <w:rsid w:val="001F7C67"/>
    <w:rsid w:val="00204182"/>
    <w:rsid w:val="002044F5"/>
    <w:rsid w:val="00204E8B"/>
    <w:rsid w:val="002120C2"/>
    <w:rsid w:val="00212869"/>
    <w:rsid w:val="00214466"/>
    <w:rsid w:val="00215655"/>
    <w:rsid w:val="0022091E"/>
    <w:rsid w:val="00221786"/>
    <w:rsid w:val="00222B6A"/>
    <w:rsid w:val="00223884"/>
    <w:rsid w:val="0022394C"/>
    <w:rsid w:val="00224238"/>
    <w:rsid w:val="00224CFD"/>
    <w:rsid w:val="00224EF4"/>
    <w:rsid w:val="00226514"/>
    <w:rsid w:val="00227E8B"/>
    <w:rsid w:val="00230CF2"/>
    <w:rsid w:val="00231590"/>
    <w:rsid w:val="00232103"/>
    <w:rsid w:val="002414BC"/>
    <w:rsid w:val="00242030"/>
    <w:rsid w:val="00243CF3"/>
    <w:rsid w:val="00244A2E"/>
    <w:rsid w:val="00244D8B"/>
    <w:rsid w:val="00245760"/>
    <w:rsid w:val="00247970"/>
    <w:rsid w:val="00247A11"/>
    <w:rsid w:val="00253B32"/>
    <w:rsid w:val="002627DC"/>
    <w:rsid w:val="00263139"/>
    <w:rsid w:val="00264157"/>
    <w:rsid w:val="00265C3E"/>
    <w:rsid w:val="0027029A"/>
    <w:rsid w:val="00270738"/>
    <w:rsid w:val="00271E17"/>
    <w:rsid w:val="002747F6"/>
    <w:rsid w:val="00281284"/>
    <w:rsid w:val="00281896"/>
    <w:rsid w:val="0028544F"/>
    <w:rsid w:val="00287AFD"/>
    <w:rsid w:val="00292211"/>
    <w:rsid w:val="0029384E"/>
    <w:rsid w:val="00296337"/>
    <w:rsid w:val="00296424"/>
    <w:rsid w:val="00297014"/>
    <w:rsid w:val="0029701E"/>
    <w:rsid w:val="0029726F"/>
    <w:rsid w:val="00297D7D"/>
    <w:rsid w:val="002A14B8"/>
    <w:rsid w:val="002A1B3A"/>
    <w:rsid w:val="002A27B4"/>
    <w:rsid w:val="002A2EA9"/>
    <w:rsid w:val="002A482C"/>
    <w:rsid w:val="002A51AB"/>
    <w:rsid w:val="002A540A"/>
    <w:rsid w:val="002A7531"/>
    <w:rsid w:val="002B10C4"/>
    <w:rsid w:val="002B3228"/>
    <w:rsid w:val="002B3DFA"/>
    <w:rsid w:val="002B46A0"/>
    <w:rsid w:val="002B473F"/>
    <w:rsid w:val="002B56B5"/>
    <w:rsid w:val="002B6394"/>
    <w:rsid w:val="002C03DF"/>
    <w:rsid w:val="002C06B5"/>
    <w:rsid w:val="002C38C0"/>
    <w:rsid w:val="002C76C0"/>
    <w:rsid w:val="002D18CC"/>
    <w:rsid w:val="002D1C38"/>
    <w:rsid w:val="002D1DEA"/>
    <w:rsid w:val="002D5D64"/>
    <w:rsid w:val="002D7018"/>
    <w:rsid w:val="002E0584"/>
    <w:rsid w:val="002E4573"/>
    <w:rsid w:val="002E586D"/>
    <w:rsid w:val="002E6B83"/>
    <w:rsid w:val="002E6CAB"/>
    <w:rsid w:val="002E6CEC"/>
    <w:rsid w:val="002E753B"/>
    <w:rsid w:val="002E7F4F"/>
    <w:rsid w:val="002F11F7"/>
    <w:rsid w:val="002F1222"/>
    <w:rsid w:val="002F2410"/>
    <w:rsid w:val="002F511F"/>
    <w:rsid w:val="002F5C25"/>
    <w:rsid w:val="002F73D6"/>
    <w:rsid w:val="00303C38"/>
    <w:rsid w:val="0030478F"/>
    <w:rsid w:val="00304B3B"/>
    <w:rsid w:val="003064CB"/>
    <w:rsid w:val="003101B7"/>
    <w:rsid w:val="00314AA0"/>
    <w:rsid w:val="00314B29"/>
    <w:rsid w:val="003179E3"/>
    <w:rsid w:val="00320177"/>
    <w:rsid w:val="00320629"/>
    <w:rsid w:val="0032183B"/>
    <w:rsid w:val="003218F9"/>
    <w:rsid w:val="003232B7"/>
    <w:rsid w:val="003258B9"/>
    <w:rsid w:val="00325F3B"/>
    <w:rsid w:val="003332F4"/>
    <w:rsid w:val="003351C1"/>
    <w:rsid w:val="00342539"/>
    <w:rsid w:val="0034364B"/>
    <w:rsid w:val="00343C67"/>
    <w:rsid w:val="00343DD8"/>
    <w:rsid w:val="00345704"/>
    <w:rsid w:val="00346052"/>
    <w:rsid w:val="00346550"/>
    <w:rsid w:val="003476C3"/>
    <w:rsid w:val="00347B72"/>
    <w:rsid w:val="003518D9"/>
    <w:rsid w:val="003544D0"/>
    <w:rsid w:val="00355A60"/>
    <w:rsid w:val="0035636E"/>
    <w:rsid w:val="003600F8"/>
    <w:rsid w:val="00360EB5"/>
    <w:rsid w:val="00362C64"/>
    <w:rsid w:val="0036381C"/>
    <w:rsid w:val="00363EC5"/>
    <w:rsid w:val="00365560"/>
    <w:rsid w:val="00372D79"/>
    <w:rsid w:val="00375E48"/>
    <w:rsid w:val="003778AC"/>
    <w:rsid w:val="00380B77"/>
    <w:rsid w:val="003825E2"/>
    <w:rsid w:val="00382B62"/>
    <w:rsid w:val="00383BDC"/>
    <w:rsid w:val="003846F3"/>
    <w:rsid w:val="00386A1E"/>
    <w:rsid w:val="00391735"/>
    <w:rsid w:val="003925E5"/>
    <w:rsid w:val="00397E17"/>
    <w:rsid w:val="003A0C47"/>
    <w:rsid w:val="003A56EA"/>
    <w:rsid w:val="003A5B61"/>
    <w:rsid w:val="003A6A7A"/>
    <w:rsid w:val="003B0AD5"/>
    <w:rsid w:val="003B10D2"/>
    <w:rsid w:val="003B2337"/>
    <w:rsid w:val="003C0372"/>
    <w:rsid w:val="003C0FBB"/>
    <w:rsid w:val="003C2B5B"/>
    <w:rsid w:val="003C2EA5"/>
    <w:rsid w:val="003C3CBA"/>
    <w:rsid w:val="003C5671"/>
    <w:rsid w:val="003C649A"/>
    <w:rsid w:val="003C6A9B"/>
    <w:rsid w:val="003C7B22"/>
    <w:rsid w:val="003C7D0B"/>
    <w:rsid w:val="003D032A"/>
    <w:rsid w:val="003D058D"/>
    <w:rsid w:val="003D1B3C"/>
    <w:rsid w:val="003D5D07"/>
    <w:rsid w:val="003E301C"/>
    <w:rsid w:val="003E351C"/>
    <w:rsid w:val="003E49A4"/>
    <w:rsid w:val="003E5379"/>
    <w:rsid w:val="003E5CFD"/>
    <w:rsid w:val="003E5E52"/>
    <w:rsid w:val="003E6704"/>
    <w:rsid w:val="003E7D98"/>
    <w:rsid w:val="003F0736"/>
    <w:rsid w:val="003F105F"/>
    <w:rsid w:val="00405566"/>
    <w:rsid w:val="0040571E"/>
    <w:rsid w:val="00406F1B"/>
    <w:rsid w:val="00407A06"/>
    <w:rsid w:val="00410A84"/>
    <w:rsid w:val="00410F1A"/>
    <w:rsid w:val="0041299A"/>
    <w:rsid w:val="00412CF9"/>
    <w:rsid w:val="004154C8"/>
    <w:rsid w:val="00415566"/>
    <w:rsid w:val="004174AC"/>
    <w:rsid w:val="00420DC6"/>
    <w:rsid w:val="004238C0"/>
    <w:rsid w:val="00423FCE"/>
    <w:rsid w:val="00431FBB"/>
    <w:rsid w:val="004329DF"/>
    <w:rsid w:val="004345CD"/>
    <w:rsid w:val="00434F30"/>
    <w:rsid w:val="0043751A"/>
    <w:rsid w:val="00437636"/>
    <w:rsid w:val="00440CA4"/>
    <w:rsid w:val="004426C9"/>
    <w:rsid w:val="004463EB"/>
    <w:rsid w:val="00447948"/>
    <w:rsid w:val="004513D4"/>
    <w:rsid w:val="004515DB"/>
    <w:rsid w:val="004531DE"/>
    <w:rsid w:val="004545B1"/>
    <w:rsid w:val="00455C52"/>
    <w:rsid w:val="00456549"/>
    <w:rsid w:val="00460583"/>
    <w:rsid w:val="00460869"/>
    <w:rsid w:val="00461E46"/>
    <w:rsid w:val="004657FB"/>
    <w:rsid w:val="00466EA8"/>
    <w:rsid w:val="00467070"/>
    <w:rsid w:val="00470417"/>
    <w:rsid w:val="00470E5C"/>
    <w:rsid w:val="00472A9D"/>
    <w:rsid w:val="00476A0C"/>
    <w:rsid w:val="00476B62"/>
    <w:rsid w:val="004773F4"/>
    <w:rsid w:val="00482334"/>
    <w:rsid w:val="00484386"/>
    <w:rsid w:val="00485B50"/>
    <w:rsid w:val="004861BA"/>
    <w:rsid w:val="00486E8B"/>
    <w:rsid w:val="00486F69"/>
    <w:rsid w:val="00494D89"/>
    <w:rsid w:val="00495AC0"/>
    <w:rsid w:val="00496A56"/>
    <w:rsid w:val="004A2395"/>
    <w:rsid w:val="004A23E3"/>
    <w:rsid w:val="004A386A"/>
    <w:rsid w:val="004A3ED5"/>
    <w:rsid w:val="004A5769"/>
    <w:rsid w:val="004B3D1C"/>
    <w:rsid w:val="004B44F9"/>
    <w:rsid w:val="004B4E93"/>
    <w:rsid w:val="004B64BA"/>
    <w:rsid w:val="004B7CCA"/>
    <w:rsid w:val="004C00BB"/>
    <w:rsid w:val="004C277C"/>
    <w:rsid w:val="004C3275"/>
    <w:rsid w:val="004C4F75"/>
    <w:rsid w:val="004D1E92"/>
    <w:rsid w:val="004D2DEF"/>
    <w:rsid w:val="004D3215"/>
    <w:rsid w:val="004D33E0"/>
    <w:rsid w:val="004D5F57"/>
    <w:rsid w:val="004D6838"/>
    <w:rsid w:val="004D7992"/>
    <w:rsid w:val="004E2DD5"/>
    <w:rsid w:val="004E3BE6"/>
    <w:rsid w:val="004E4903"/>
    <w:rsid w:val="004E6F98"/>
    <w:rsid w:val="004E7CD4"/>
    <w:rsid w:val="004F1B5E"/>
    <w:rsid w:val="004F1E47"/>
    <w:rsid w:val="004F2526"/>
    <w:rsid w:val="004F2B49"/>
    <w:rsid w:val="004F59E0"/>
    <w:rsid w:val="004F6B7F"/>
    <w:rsid w:val="0050218E"/>
    <w:rsid w:val="00504FC7"/>
    <w:rsid w:val="00505A43"/>
    <w:rsid w:val="00507975"/>
    <w:rsid w:val="00507A48"/>
    <w:rsid w:val="00511D76"/>
    <w:rsid w:val="00511EDF"/>
    <w:rsid w:val="00512CD9"/>
    <w:rsid w:val="00513813"/>
    <w:rsid w:val="005148C2"/>
    <w:rsid w:val="0051576F"/>
    <w:rsid w:val="00516A1D"/>
    <w:rsid w:val="00517B90"/>
    <w:rsid w:val="00520F04"/>
    <w:rsid w:val="005216CB"/>
    <w:rsid w:val="00523793"/>
    <w:rsid w:val="00523E75"/>
    <w:rsid w:val="00526A13"/>
    <w:rsid w:val="00531247"/>
    <w:rsid w:val="00531883"/>
    <w:rsid w:val="00532F73"/>
    <w:rsid w:val="00534B1A"/>
    <w:rsid w:val="00534B1D"/>
    <w:rsid w:val="00534DD9"/>
    <w:rsid w:val="00534F46"/>
    <w:rsid w:val="00535AA3"/>
    <w:rsid w:val="005365BD"/>
    <w:rsid w:val="00536A06"/>
    <w:rsid w:val="00536BC8"/>
    <w:rsid w:val="00540F87"/>
    <w:rsid w:val="005420B4"/>
    <w:rsid w:val="005437F5"/>
    <w:rsid w:val="00546C18"/>
    <w:rsid w:val="005470CA"/>
    <w:rsid w:val="005508B5"/>
    <w:rsid w:val="00550D1D"/>
    <w:rsid w:val="005530A6"/>
    <w:rsid w:val="00553E6B"/>
    <w:rsid w:val="005543BC"/>
    <w:rsid w:val="00555DDB"/>
    <w:rsid w:val="005603C8"/>
    <w:rsid w:val="00561B69"/>
    <w:rsid w:val="005641BC"/>
    <w:rsid w:val="00564F7B"/>
    <w:rsid w:val="00566070"/>
    <w:rsid w:val="00566888"/>
    <w:rsid w:val="005671DA"/>
    <w:rsid w:val="00570170"/>
    <w:rsid w:val="005746F3"/>
    <w:rsid w:val="005763D1"/>
    <w:rsid w:val="00577591"/>
    <w:rsid w:val="00577856"/>
    <w:rsid w:val="00577E74"/>
    <w:rsid w:val="00582AB3"/>
    <w:rsid w:val="005834DA"/>
    <w:rsid w:val="005859A0"/>
    <w:rsid w:val="0058688F"/>
    <w:rsid w:val="005914D9"/>
    <w:rsid w:val="00592D87"/>
    <w:rsid w:val="0059589D"/>
    <w:rsid w:val="005A333C"/>
    <w:rsid w:val="005B053B"/>
    <w:rsid w:val="005B3F3F"/>
    <w:rsid w:val="005B4F96"/>
    <w:rsid w:val="005B7393"/>
    <w:rsid w:val="005B7DC0"/>
    <w:rsid w:val="005C00C4"/>
    <w:rsid w:val="005C17BA"/>
    <w:rsid w:val="005C6C5B"/>
    <w:rsid w:val="005D2D0D"/>
    <w:rsid w:val="005D45FE"/>
    <w:rsid w:val="005D60A7"/>
    <w:rsid w:val="005D751A"/>
    <w:rsid w:val="005E151B"/>
    <w:rsid w:val="005E189D"/>
    <w:rsid w:val="005E5AAF"/>
    <w:rsid w:val="005F199D"/>
    <w:rsid w:val="005F4377"/>
    <w:rsid w:val="005F6B51"/>
    <w:rsid w:val="005F6E3B"/>
    <w:rsid w:val="005F7B66"/>
    <w:rsid w:val="00601552"/>
    <w:rsid w:val="006050F5"/>
    <w:rsid w:val="0060586F"/>
    <w:rsid w:val="00610909"/>
    <w:rsid w:val="00610D1F"/>
    <w:rsid w:val="00612CB7"/>
    <w:rsid w:val="00613557"/>
    <w:rsid w:val="00614608"/>
    <w:rsid w:val="0061682A"/>
    <w:rsid w:val="00616FF4"/>
    <w:rsid w:val="006170F6"/>
    <w:rsid w:val="00617AE2"/>
    <w:rsid w:val="006202A8"/>
    <w:rsid w:val="006217A7"/>
    <w:rsid w:val="006227F3"/>
    <w:rsid w:val="006229EA"/>
    <w:rsid w:val="00623D7A"/>
    <w:rsid w:val="0062414B"/>
    <w:rsid w:val="00625AEA"/>
    <w:rsid w:val="00626325"/>
    <w:rsid w:val="006268F2"/>
    <w:rsid w:val="00630B30"/>
    <w:rsid w:val="006312EC"/>
    <w:rsid w:val="00637DC8"/>
    <w:rsid w:val="00640C09"/>
    <w:rsid w:val="00641519"/>
    <w:rsid w:val="00641BD7"/>
    <w:rsid w:val="006420ED"/>
    <w:rsid w:val="0064529E"/>
    <w:rsid w:val="00651531"/>
    <w:rsid w:val="00652B5C"/>
    <w:rsid w:val="00652BD1"/>
    <w:rsid w:val="00653518"/>
    <w:rsid w:val="006546E2"/>
    <w:rsid w:val="00655C88"/>
    <w:rsid w:val="00656A3F"/>
    <w:rsid w:val="00656ABE"/>
    <w:rsid w:val="00657555"/>
    <w:rsid w:val="006605CE"/>
    <w:rsid w:val="00661D1C"/>
    <w:rsid w:val="00662BAA"/>
    <w:rsid w:val="00662FEC"/>
    <w:rsid w:val="006636D5"/>
    <w:rsid w:val="006640F1"/>
    <w:rsid w:val="0066430E"/>
    <w:rsid w:val="00664AE6"/>
    <w:rsid w:val="0066605A"/>
    <w:rsid w:val="00666271"/>
    <w:rsid w:val="0066745B"/>
    <w:rsid w:val="00670561"/>
    <w:rsid w:val="0067080C"/>
    <w:rsid w:val="00670837"/>
    <w:rsid w:val="006710E2"/>
    <w:rsid w:val="00671830"/>
    <w:rsid w:val="00673897"/>
    <w:rsid w:val="00677EE0"/>
    <w:rsid w:val="00680F01"/>
    <w:rsid w:val="006831F8"/>
    <w:rsid w:val="0068484E"/>
    <w:rsid w:val="00685B74"/>
    <w:rsid w:val="00685D1A"/>
    <w:rsid w:val="0068695D"/>
    <w:rsid w:val="00690839"/>
    <w:rsid w:val="00690E58"/>
    <w:rsid w:val="00694CAA"/>
    <w:rsid w:val="0069677A"/>
    <w:rsid w:val="00697626"/>
    <w:rsid w:val="006A0263"/>
    <w:rsid w:val="006A1F42"/>
    <w:rsid w:val="006A515E"/>
    <w:rsid w:val="006A5683"/>
    <w:rsid w:val="006B0DAB"/>
    <w:rsid w:val="006B1162"/>
    <w:rsid w:val="006B17F3"/>
    <w:rsid w:val="006B4FB3"/>
    <w:rsid w:val="006B55A9"/>
    <w:rsid w:val="006B763E"/>
    <w:rsid w:val="006C17FF"/>
    <w:rsid w:val="006C29F4"/>
    <w:rsid w:val="006C2B53"/>
    <w:rsid w:val="006C2D5E"/>
    <w:rsid w:val="006C5D1C"/>
    <w:rsid w:val="006C645B"/>
    <w:rsid w:val="006C684C"/>
    <w:rsid w:val="006D1192"/>
    <w:rsid w:val="006D2A7E"/>
    <w:rsid w:val="006D4F9C"/>
    <w:rsid w:val="006D5EC9"/>
    <w:rsid w:val="006E16AF"/>
    <w:rsid w:val="006E68C2"/>
    <w:rsid w:val="006F36CA"/>
    <w:rsid w:val="006F3AB0"/>
    <w:rsid w:val="006F507A"/>
    <w:rsid w:val="006F666C"/>
    <w:rsid w:val="006F7595"/>
    <w:rsid w:val="0070204D"/>
    <w:rsid w:val="00702BD5"/>
    <w:rsid w:val="00704108"/>
    <w:rsid w:val="007042A5"/>
    <w:rsid w:val="00706D87"/>
    <w:rsid w:val="007071E4"/>
    <w:rsid w:val="00710C9F"/>
    <w:rsid w:val="00711722"/>
    <w:rsid w:val="0071243B"/>
    <w:rsid w:val="00713C3A"/>
    <w:rsid w:val="007147AB"/>
    <w:rsid w:val="00724A81"/>
    <w:rsid w:val="00725B3A"/>
    <w:rsid w:val="007270A5"/>
    <w:rsid w:val="00731B5D"/>
    <w:rsid w:val="00734AB4"/>
    <w:rsid w:val="00736481"/>
    <w:rsid w:val="00736B92"/>
    <w:rsid w:val="0074136D"/>
    <w:rsid w:val="00743998"/>
    <w:rsid w:val="00746F51"/>
    <w:rsid w:val="00747FD0"/>
    <w:rsid w:val="00751FC1"/>
    <w:rsid w:val="007539E1"/>
    <w:rsid w:val="00754676"/>
    <w:rsid w:val="00755F3C"/>
    <w:rsid w:val="007562B2"/>
    <w:rsid w:val="00761D98"/>
    <w:rsid w:val="00762C77"/>
    <w:rsid w:val="00763A1E"/>
    <w:rsid w:val="00765923"/>
    <w:rsid w:val="0076600B"/>
    <w:rsid w:val="00767903"/>
    <w:rsid w:val="007708DA"/>
    <w:rsid w:val="00775E1C"/>
    <w:rsid w:val="007773BE"/>
    <w:rsid w:val="00780195"/>
    <w:rsid w:val="007802FB"/>
    <w:rsid w:val="007821FD"/>
    <w:rsid w:val="0078282A"/>
    <w:rsid w:val="007834BD"/>
    <w:rsid w:val="00784A12"/>
    <w:rsid w:val="00793DAB"/>
    <w:rsid w:val="00795527"/>
    <w:rsid w:val="007959D9"/>
    <w:rsid w:val="00795C90"/>
    <w:rsid w:val="00796474"/>
    <w:rsid w:val="007976AE"/>
    <w:rsid w:val="00797A32"/>
    <w:rsid w:val="007A089D"/>
    <w:rsid w:val="007A157A"/>
    <w:rsid w:val="007A1748"/>
    <w:rsid w:val="007A5215"/>
    <w:rsid w:val="007A55AB"/>
    <w:rsid w:val="007B04E8"/>
    <w:rsid w:val="007B7EAB"/>
    <w:rsid w:val="007C0CB5"/>
    <w:rsid w:val="007C1A18"/>
    <w:rsid w:val="007C3C5E"/>
    <w:rsid w:val="007C679F"/>
    <w:rsid w:val="007C73D4"/>
    <w:rsid w:val="007C7461"/>
    <w:rsid w:val="007D06CE"/>
    <w:rsid w:val="007D2323"/>
    <w:rsid w:val="007D2B9C"/>
    <w:rsid w:val="007D50A3"/>
    <w:rsid w:val="007D7882"/>
    <w:rsid w:val="007E492D"/>
    <w:rsid w:val="007E660F"/>
    <w:rsid w:val="007E6CB5"/>
    <w:rsid w:val="007E759E"/>
    <w:rsid w:val="007F13F4"/>
    <w:rsid w:val="007F4A53"/>
    <w:rsid w:val="007F4E1F"/>
    <w:rsid w:val="007F5DEE"/>
    <w:rsid w:val="007F707F"/>
    <w:rsid w:val="007F7907"/>
    <w:rsid w:val="008000A0"/>
    <w:rsid w:val="00800604"/>
    <w:rsid w:val="00800797"/>
    <w:rsid w:val="0080084A"/>
    <w:rsid w:val="008012DA"/>
    <w:rsid w:val="00801947"/>
    <w:rsid w:val="00801FFC"/>
    <w:rsid w:val="00802F92"/>
    <w:rsid w:val="008047EE"/>
    <w:rsid w:val="008048E1"/>
    <w:rsid w:val="00805794"/>
    <w:rsid w:val="00807B69"/>
    <w:rsid w:val="0081149E"/>
    <w:rsid w:val="0081192E"/>
    <w:rsid w:val="00814B64"/>
    <w:rsid w:val="008154A4"/>
    <w:rsid w:val="00815B81"/>
    <w:rsid w:val="0081667B"/>
    <w:rsid w:val="008171B7"/>
    <w:rsid w:val="00817489"/>
    <w:rsid w:val="0082193C"/>
    <w:rsid w:val="00821EA8"/>
    <w:rsid w:val="008222FB"/>
    <w:rsid w:val="0082332B"/>
    <w:rsid w:val="00823E8E"/>
    <w:rsid w:val="00824FE2"/>
    <w:rsid w:val="00826132"/>
    <w:rsid w:val="00826224"/>
    <w:rsid w:val="00826382"/>
    <w:rsid w:val="00826439"/>
    <w:rsid w:val="00827ADA"/>
    <w:rsid w:val="00830031"/>
    <w:rsid w:val="0083160F"/>
    <w:rsid w:val="00831EDE"/>
    <w:rsid w:val="00833C11"/>
    <w:rsid w:val="00834539"/>
    <w:rsid w:val="00836087"/>
    <w:rsid w:val="0083610B"/>
    <w:rsid w:val="00837CF7"/>
    <w:rsid w:val="00840B63"/>
    <w:rsid w:val="00842351"/>
    <w:rsid w:val="008423B1"/>
    <w:rsid w:val="00842E85"/>
    <w:rsid w:val="00844CD2"/>
    <w:rsid w:val="0084609A"/>
    <w:rsid w:val="00850B6D"/>
    <w:rsid w:val="0085217F"/>
    <w:rsid w:val="00853EA7"/>
    <w:rsid w:val="00854103"/>
    <w:rsid w:val="0085493A"/>
    <w:rsid w:val="00856671"/>
    <w:rsid w:val="008608DE"/>
    <w:rsid w:val="00860FD6"/>
    <w:rsid w:val="00862F83"/>
    <w:rsid w:val="008640A7"/>
    <w:rsid w:val="0086454E"/>
    <w:rsid w:val="00864C6F"/>
    <w:rsid w:val="00870475"/>
    <w:rsid w:val="00870C06"/>
    <w:rsid w:val="008712C7"/>
    <w:rsid w:val="00871482"/>
    <w:rsid w:val="00874A5F"/>
    <w:rsid w:val="00874CDA"/>
    <w:rsid w:val="00874E93"/>
    <w:rsid w:val="00875373"/>
    <w:rsid w:val="00876D38"/>
    <w:rsid w:val="0087791F"/>
    <w:rsid w:val="00880A58"/>
    <w:rsid w:val="008810AD"/>
    <w:rsid w:val="008813BF"/>
    <w:rsid w:val="0088201D"/>
    <w:rsid w:val="0088302C"/>
    <w:rsid w:val="00883530"/>
    <w:rsid w:val="00885061"/>
    <w:rsid w:val="00886FD5"/>
    <w:rsid w:val="008913FA"/>
    <w:rsid w:val="00892299"/>
    <w:rsid w:val="00892376"/>
    <w:rsid w:val="0089267B"/>
    <w:rsid w:val="00893729"/>
    <w:rsid w:val="00895ADD"/>
    <w:rsid w:val="0089695F"/>
    <w:rsid w:val="00896A5E"/>
    <w:rsid w:val="008A0034"/>
    <w:rsid w:val="008A3764"/>
    <w:rsid w:val="008A48B6"/>
    <w:rsid w:val="008A5A66"/>
    <w:rsid w:val="008A631C"/>
    <w:rsid w:val="008A68D0"/>
    <w:rsid w:val="008B092F"/>
    <w:rsid w:val="008B1777"/>
    <w:rsid w:val="008B2C04"/>
    <w:rsid w:val="008B5A05"/>
    <w:rsid w:val="008B7FD4"/>
    <w:rsid w:val="008C0BF2"/>
    <w:rsid w:val="008C194C"/>
    <w:rsid w:val="008C2C9E"/>
    <w:rsid w:val="008C5CDB"/>
    <w:rsid w:val="008C759A"/>
    <w:rsid w:val="008D11B7"/>
    <w:rsid w:val="008D1568"/>
    <w:rsid w:val="008D5E8E"/>
    <w:rsid w:val="008D6EE5"/>
    <w:rsid w:val="008D762A"/>
    <w:rsid w:val="008D7EF1"/>
    <w:rsid w:val="008E48DF"/>
    <w:rsid w:val="008E4CE5"/>
    <w:rsid w:val="008E5035"/>
    <w:rsid w:val="008F7193"/>
    <w:rsid w:val="008F71D1"/>
    <w:rsid w:val="008F71DF"/>
    <w:rsid w:val="008F727B"/>
    <w:rsid w:val="00907B9B"/>
    <w:rsid w:val="00911879"/>
    <w:rsid w:val="00911A5D"/>
    <w:rsid w:val="00920D10"/>
    <w:rsid w:val="00921814"/>
    <w:rsid w:val="00922BA3"/>
    <w:rsid w:val="00922CDF"/>
    <w:rsid w:val="00924D83"/>
    <w:rsid w:val="00927FDB"/>
    <w:rsid w:val="009305FC"/>
    <w:rsid w:val="00930857"/>
    <w:rsid w:val="009356B6"/>
    <w:rsid w:val="00935EDC"/>
    <w:rsid w:val="0093624E"/>
    <w:rsid w:val="00936A60"/>
    <w:rsid w:val="00940A06"/>
    <w:rsid w:val="009432B1"/>
    <w:rsid w:val="009437F8"/>
    <w:rsid w:val="009469CE"/>
    <w:rsid w:val="00946BCA"/>
    <w:rsid w:val="0094736C"/>
    <w:rsid w:val="00947F35"/>
    <w:rsid w:val="009511FE"/>
    <w:rsid w:val="0095297D"/>
    <w:rsid w:val="00952CE8"/>
    <w:rsid w:val="00952FE2"/>
    <w:rsid w:val="009536EB"/>
    <w:rsid w:val="0095775E"/>
    <w:rsid w:val="0096059B"/>
    <w:rsid w:val="0096083D"/>
    <w:rsid w:val="00963B61"/>
    <w:rsid w:val="00966184"/>
    <w:rsid w:val="0096723B"/>
    <w:rsid w:val="00970557"/>
    <w:rsid w:val="00973609"/>
    <w:rsid w:val="00974422"/>
    <w:rsid w:val="0097666B"/>
    <w:rsid w:val="00977790"/>
    <w:rsid w:val="00981694"/>
    <w:rsid w:val="00981D93"/>
    <w:rsid w:val="00984BC6"/>
    <w:rsid w:val="0098739E"/>
    <w:rsid w:val="00987636"/>
    <w:rsid w:val="00987E53"/>
    <w:rsid w:val="009900EF"/>
    <w:rsid w:val="00990434"/>
    <w:rsid w:val="0099098B"/>
    <w:rsid w:val="00991352"/>
    <w:rsid w:val="00991CAE"/>
    <w:rsid w:val="009A0BD8"/>
    <w:rsid w:val="009A0C3F"/>
    <w:rsid w:val="009A1E6E"/>
    <w:rsid w:val="009A2486"/>
    <w:rsid w:val="009A2D43"/>
    <w:rsid w:val="009A5A4B"/>
    <w:rsid w:val="009B0446"/>
    <w:rsid w:val="009B0B3C"/>
    <w:rsid w:val="009B1D0C"/>
    <w:rsid w:val="009B4832"/>
    <w:rsid w:val="009B50D2"/>
    <w:rsid w:val="009B5146"/>
    <w:rsid w:val="009B65FB"/>
    <w:rsid w:val="009C08A5"/>
    <w:rsid w:val="009C1F33"/>
    <w:rsid w:val="009C1FBB"/>
    <w:rsid w:val="009C36E1"/>
    <w:rsid w:val="009C5BD5"/>
    <w:rsid w:val="009D0044"/>
    <w:rsid w:val="009D3D25"/>
    <w:rsid w:val="009D45F3"/>
    <w:rsid w:val="009D7E9E"/>
    <w:rsid w:val="009E035A"/>
    <w:rsid w:val="009E068E"/>
    <w:rsid w:val="009E5767"/>
    <w:rsid w:val="009E6009"/>
    <w:rsid w:val="009E7244"/>
    <w:rsid w:val="009E7968"/>
    <w:rsid w:val="009F41B5"/>
    <w:rsid w:val="009F50DB"/>
    <w:rsid w:val="009F609F"/>
    <w:rsid w:val="009F60B3"/>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3BC"/>
    <w:rsid w:val="00A23476"/>
    <w:rsid w:val="00A247F2"/>
    <w:rsid w:val="00A25B11"/>
    <w:rsid w:val="00A25B80"/>
    <w:rsid w:val="00A30E73"/>
    <w:rsid w:val="00A31BCF"/>
    <w:rsid w:val="00A33276"/>
    <w:rsid w:val="00A335A5"/>
    <w:rsid w:val="00A33F81"/>
    <w:rsid w:val="00A367E2"/>
    <w:rsid w:val="00A3751F"/>
    <w:rsid w:val="00A403C1"/>
    <w:rsid w:val="00A40558"/>
    <w:rsid w:val="00A41751"/>
    <w:rsid w:val="00A4351B"/>
    <w:rsid w:val="00A4373B"/>
    <w:rsid w:val="00A452F0"/>
    <w:rsid w:val="00A473AD"/>
    <w:rsid w:val="00A5169F"/>
    <w:rsid w:val="00A608B0"/>
    <w:rsid w:val="00A618B7"/>
    <w:rsid w:val="00A6262D"/>
    <w:rsid w:val="00A65042"/>
    <w:rsid w:val="00A65856"/>
    <w:rsid w:val="00A6610F"/>
    <w:rsid w:val="00A67530"/>
    <w:rsid w:val="00A70A3B"/>
    <w:rsid w:val="00A70BF5"/>
    <w:rsid w:val="00A75666"/>
    <w:rsid w:val="00A76F23"/>
    <w:rsid w:val="00A77652"/>
    <w:rsid w:val="00A84DC4"/>
    <w:rsid w:val="00A851EA"/>
    <w:rsid w:val="00A854A4"/>
    <w:rsid w:val="00A86531"/>
    <w:rsid w:val="00A86935"/>
    <w:rsid w:val="00A8727F"/>
    <w:rsid w:val="00A9212D"/>
    <w:rsid w:val="00A92F14"/>
    <w:rsid w:val="00A93553"/>
    <w:rsid w:val="00A93CED"/>
    <w:rsid w:val="00A95095"/>
    <w:rsid w:val="00A953CD"/>
    <w:rsid w:val="00AA0876"/>
    <w:rsid w:val="00AA4192"/>
    <w:rsid w:val="00AA4521"/>
    <w:rsid w:val="00AA53A0"/>
    <w:rsid w:val="00AA5ADD"/>
    <w:rsid w:val="00AA7C54"/>
    <w:rsid w:val="00AB13EC"/>
    <w:rsid w:val="00AB41A8"/>
    <w:rsid w:val="00AB583A"/>
    <w:rsid w:val="00AB6A03"/>
    <w:rsid w:val="00AC07C5"/>
    <w:rsid w:val="00AC3409"/>
    <w:rsid w:val="00AC4CDF"/>
    <w:rsid w:val="00AC70BE"/>
    <w:rsid w:val="00AC7CBB"/>
    <w:rsid w:val="00AD17D5"/>
    <w:rsid w:val="00AD2436"/>
    <w:rsid w:val="00AD7833"/>
    <w:rsid w:val="00AE05DE"/>
    <w:rsid w:val="00AE0F4D"/>
    <w:rsid w:val="00AE252B"/>
    <w:rsid w:val="00AF0897"/>
    <w:rsid w:val="00AF47A1"/>
    <w:rsid w:val="00AF5B69"/>
    <w:rsid w:val="00AF65F3"/>
    <w:rsid w:val="00AF777B"/>
    <w:rsid w:val="00AF7B06"/>
    <w:rsid w:val="00B01457"/>
    <w:rsid w:val="00B03759"/>
    <w:rsid w:val="00B043FE"/>
    <w:rsid w:val="00B114DE"/>
    <w:rsid w:val="00B12040"/>
    <w:rsid w:val="00B1396D"/>
    <w:rsid w:val="00B13C4A"/>
    <w:rsid w:val="00B13EA8"/>
    <w:rsid w:val="00B15675"/>
    <w:rsid w:val="00B17762"/>
    <w:rsid w:val="00B21F2C"/>
    <w:rsid w:val="00B222E0"/>
    <w:rsid w:val="00B24D25"/>
    <w:rsid w:val="00B26E16"/>
    <w:rsid w:val="00B27B9F"/>
    <w:rsid w:val="00B27EDC"/>
    <w:rsid w:val="00B31B50"/>
    <w:rsid w:val="00B34CC7"/>
    <w:rsid w:val="00B37360"/>
    <w:rsid w:val="00B375F6"/>
    <w:rsid w:val="00B40130"/>
    <w:rsid w:val="00B41302"/>
    <w:rsid w:val="00B418DA"/>
    <w:rsid w:val="00B41EB5"/>
    <w:rsid w:val="00B4268D"/>
    <w:rsid w:val="00B43A6C"/>
    <w:rsid w:val="00B43E62"/>
    <w:rsid w:val="00B45019"/>
    <w:rsid w:val="00B45619"/>
    <w:rsid w:val="00B47F20"/>
    <w:rsid w:val="00B5496E"/>
    <w:rsid w:val="00B552E7"/>
    <w:rsid w:val="00B56E77"/>
    <w:rsid w:val="00B60520"/>
    <w:rsid w:val="00B63096"/>
    <w:rsid w:val="00B6364F"/>
    <w:rsid w:val="00B6750C"/>
    <w:rsid w:val="00B67F40"/>
    <w:rsid w:val="00B702EF"/>
    <w:rsid w:val="00B7205C"/>
    <w:rsid w:val="00B75977"/>
    <w:rsid w:val="00B773BF"/>
    <w:rsid w:val="00B8056E"/>
    <w:rsid w:val="00B8249F"/>
    <w:rsid w:val="00B83477"/>
    <w:rsid w:val="00B83BBA"/>
    <w:rsid w:val="00B87717"/>
    <w:rsid w:val="00B90422"/>
    <w:rsid w:val="00B90B60"/>
    <w:rsid w:val="00B91F5B"/>
    <w:rsid w:val="00B920FE"/>
    <w:rsid w:val="00B9246C"/>
    <w:rsid w:val="00B92733"/>
    <w:rsid w:val="00B92B44"/>
    <w:rsid w:val="00B92E1F"/>
    <w:rsid w:val="00B94EDA"/>
    <w:rsid w:val="00B9533A"/>
    <w:rsid w:val="00B96F48"/>
    <w:rsid w:val="00BA3096"/>
    <w:rsid w:val="00BA5C0A"/>
    <w:rsid w:val="00BA7E7A"/>
    <w:rsid w:val="00BB4A4C"/>
    <w:rsid w:val="00BB50D0"/>
    <w:rsid w:val="00BB760C"/>
    <w:rsid w:val="00BC176D"/>
    <w:rsid w:val="00BC19C7"/>
    <w:rsid w:val="00BC2427"/>
    <w:rsid w:val="00BC2D8A"/>
    <w:rsid w:val="00BC340E"/>
    <w:rsid w:val="00BC4927"/>
    <w:rsid w:val="00BC49E3"/>
    <w:rsid w:val="00BC7542"/>
    <w:rsid w:val="00BC7D98"/>
    <w:rsid w:val="00BD0243"/>
    <w:rsid w:val="00BD1C12"/>
    <w:rsid w:val="00BD2E3A"/>
    <w:rsid w:val="00BD4406"/>
    <w:rsid w:val="00BD4D22"/>
    <w:rsid w:val="00BD513D"/>
    <w:rsid w:val="00BD6AFB"/>
    <w:rsid w:val="00BE0686"/>
    <w:rsid w:val="00BE0C5A"/>
    <w:rsid w:val="00BE176E"/>
    <w:rsid w:val="00BE2502"/>
    <w:rsid w:val="00BE3784"/>
    <w:rsid w:val="00BE3B93"/>
    <w:rsid w:val="00BE5247"/>
    <w:rsid w:val="00BE53A5"/>
    <w:rsid w:val="00BE56BE"/>
    <w:rsid w:val="00BE72EA"/>
    <w:rsid w:val="00BF449A"/>
    <w:rsid w:val="00BF5764"/>
    <w:rsid w:val="00BF7FE7"/>
    <w:rsid w:val="00C003A3"/>
    <w:rsid w:val="00C03BBF"/>
    <w:rsid w:val="00C04FBB"/>
    <w:rsid w:val="00C05091"/>
    <w:rsid w:val="00C06898"/>
    <w:rsid w:val="00C07734"/>
    <w:rsid w:val="00C10F9C"/>
    <w:rsid w:val="00C12788"/>
    <w:rsid w:val="00C1363C"/>
    <w:rsid w:val="00C20EE7"/>
    <w:rsid w:val="00C2239E"/>
    <w:rsid w:val="00C227AC"/>
    <w:rsid w:val="00C22940"/>
    <w:rsid w:val="00C22987"/>
    <w:rsid w:val="00C22FA9"/>
    <w:rsid w:val="00C269B9"/>
    <w:rsid w:val="00C3315E"/>
    <w:rsid w:val="00C339E9"/>
    <w:rsid w:val="00C40036"/>
    <w:rsid w:val="00C408B3"/>
    <w:rsid w:val="00C40E47"/>
    <w:rsid w:val="00C421ED"/>
    <w:rsid w:val="00C43CEB"/>
    <w:rsid w:val="00C50327"/>
    <w:rsid w:val="00C50ACA"/>
    <w:rsid w:val="00C52DC5"/>
    <w:rsid w:val="00C5367D"/>
    <w:rsid w:val="00C56365"/>
    <w:rsid w:val="00C5739A"/>
    <w:rsid w:val="00C662FA"/>
    <w:rsid w:val="00C70FB8"/>
    <w:rsid w:val="00C72FF6"/>
    <w:rsid w:val="00C7324C"/>
    <w:rsid w:val="00C7382B"/>
    <w:rsid w:val="00C74EC1"/>
    <w:rsid w:val="00C75343"/>
    <w:rsid w:val="00C77C0C"/>
    <w:rsid w:val="00C77F3A"/>
    <w:rsid w:val="00C805A4"/>
    <w:rsid w:val="00C82D41"/>
    <w:rsid w:val="00C82FB2"/>
    <w:rsid w:val="00C831F9"/>
    <w:rsid w:val="00C850A5"/>
    <w:rsid w:val="00C85266"/>
    <w:rsid w:val="00C8567A"/>
    <w:rsid w:val="00C86227"/>
    <w:rsid w:val="00C8728B"/>
    <w:rsid w:val="00C9177C"/>
    <w:rsid w:val="00C91D6A"/>
    <w:rsid w:val="00C941DC"/>
    <w:rsid w:val="00C9630A"/>
    <w:rsid w:val="00CA0FA9"/>
    <w:rsid w:val="00CA10F6"/>
    <w:rsid w:val="00CA135B"/>
    <w:rsid w:val="00CA15C9"/>
    <w:rsid w:val="00CA2ACB"/>
    <w:rsid w:val="00CA3A91"/>
    <w:rsid w:val="00CA7095"/>
    <w:rsid w:val="00CB2153"/>
    <w:rsid w:val="00CB6B2E"/>
    <w:rsid w:val="00CC522A"/>
    <w:rsid w:val="00CC64F8"/>
    <w:rsid w:val="00CD000C"/>
    <w:rsid w:val="00CD0A23"/>
    <w:rsid w:val="00CD217F"/>
    <w:rsid w:val="00CD2913"/>
    <w:rsid w:val="00CD293E"/>
    <w:rsid w:val="00CD2FDD"/>
    <w:rsid w:val="00CD46E6"/>
    <w:rsid w:val="00CD621D"/>
    <w:rsid w:val="00CD675B"/>
    <w:rsid w:val="00CE0C5B"/>
    <w:rsid w:val="00CE1D1B"/>
    <w:rsid w:val="00CE2052"/>
    <w:rsid w:val="00CE3B0B"/>
    <w:rsid w:val="00CE4780"/>
    <w:rsid w:val="00CE5791"/>
    <w:rsid w:val="00CE60BA"/>
    <w:rsid w:val="00CE6539"/>
    <w:rsid w:val="00CF1EB8"/>
    <w:rsid w:val="00CF21DF"/>
    <w:rsid w:val="00CF22BC"/>
    <w:rsid w:val="00CF3D0F"/>
    <w:rsid w:val="00CF4285"/>
    <w:rsid w:val="00CF527A"/>
    <w:rsid w:val="00CF5BEF"/>
    <w:rsid w:val="00CF60AE"/>
    <w:rsid w:val="00CF763B"/>
    <w:rsid w:val="00CF7FFA"/>
    <w:rsid w:val="00D00545"/>
    <w:rsid w:val="00D005B3"/>
    <w:rsid w:val="00D0064B"/>
    <w:rsid w:val="00D04C36"/>
    <w:rsid w:val="00D07AD2"/>
    <w:rsid w:val="00D14444"/>
    <w:rsid w:val="00D15B00"/>
    <w:rsid w:val="00D16473"/>
    <w:rsid w:val="00D16C3A"/>
    <w:rsid w:val="00D179EF"/>
    <w:rsid w:val="00D2122D"/>
    <w:rsid w:val="00D21B5E"/>
    <w:rsid w:val="00D23180"/>
    <w:rsid w:val="00D26133"/>
    <w:rsid w:val="00D3106C"/>
    <w:rsid w:val="00D349B5"/>
    <w:rsid w:val="00D36B72"/>
    <w:rsid w:val="00D36D7A"/>
    <w:rsid w:val="00D3705C"/>
    <w:rsid w:val="00D3746E"/>
    <w:rsid w:val="00D42331"/>
    <w:rsid w:val="00D44715"/>
    <w:rsid w:val="00D5052B"/>
    <w:rsid w:val="00D50FB9"/>
    <w:rsid w:val="00D51530"/>
    <w:rsid w:val="00D553EC"/>
    <w:rsid w:val="00D559CB"/>
    <w:rsid w:val="00D571CB"/>
    <w:rsid w:val="00D61C50"/>
    <w:rsid w:val="00D6261F"/>
    <w:rsid w:val="00D633A0"/>
    <w:rsid w:val="00D63708"/>
    <w:rsid w:val="00D657BA"/>
    <w:rsid w:val="00D66087"/>
    <w:rsid w:val="00D6683F"/>
    <w:rsid w:val="00D75957"/>
    <w:rsid w:val="00D76288"/>
    <w:rsid w:val="00D76917"/>
    <w:rsid w:val="00D80A23"/>
    <w:rsid w:val="00D81FC5"/>
    <w:rsid w:val="00D836BA"/>
    <w:rsid w:val="00D846D0"/>
    <w:rsid w:val="00D85C74"/>
    <w:rsid w:val="00D8688A"/>
    <w:rsid w:val="00D86E0C"/>
    <w:rsid w:val="00D87D2A"/>
    <w:rsid w:val="00D9269F"/>
    <w:rsid w:val="00D95491"/>
    <w:rsid w:val="00D96E4A"/>
    <w:rsid w:val="00D97A9D"/>
    <w:rsid w:val="00DA0B42"/>
    <w:rsid w:val="00DA1705"/>
    <w:rsid w:val="00DA1C68"/>
    <w:rsid w:val="00DA4029"/>
    <w:rsid w:val="00DA4C36"/>
    <w:rsid w:val="00DA50A5"/>
    <w:rsid w:val="00DA5265"/>
    <w:rsid w:val="00DA7D78"/>
    <w:rsid w:val="00DB0E0A"/>
    <w:rsid w:val="00DB11D9"/>
    <w:rsid w:val="00DB36E7"/>
    <w:rsid w:val="00DB4468"/>
    <w:rsid w:val="00DB4E83"/>
    <w:rsid w:val="00DC05ED"/>
    <w:rsid w:val="00DC1D19"/>
    <w:rsid w:val="00DD2B98"/>
    <w:rsid w:val="00DD40D8"/>
    <w:rsid w:val="00DD51C1"/>
    <w:rsid w:val="00DE0286"/>
    <w:rsid w:val="00DE0823"/>
    <w:rsid w:val="00DE0DCA"/>
    <w:rsid w:val="00DE1794"/>
    <w:rsid w:val="00DE350E"/>
    <w:rsid w:val="00DE48CB"/>
    <w:rsid w:val="00DE76D1"/>
    <w:rsid w:val="00DE7773"/>
    <w:rsid w:val="00DE7C76"/>
    <w:rsid w:val="00DF01E0"/>
    <w:rsid w:val="00DF066E"/>
    <w:rsid w:val="00DF08AE"/>
    <w:rsid w:val="00DF1742"/>
    <w:rsid w:val="00DF3822"/>
    <w:rsid w:val="00DF38DA"/>
    <w:rsid w:val="00DF4D37"/>
    <w:rsid w:val="00DF7341"/>
    <w:rsid w:val="00E00A20"/>
    <w:rsid w:val="00E04C04"/>
    <w:rsid w:val="00E04DED"/>
    <w:rsid w:val="00E052BA"/>
    <w:rsid w:val="00E05D23"/>
    <w:rsid w:val="00E10B83"/>
    <w:rsid w:val="00E10ECC"/>
    <w:rsid w:val="00E11432"/>
    <w:rsid w:val="00E15F9B"/>
    <w:rsid w:val="00E17EEB"/>
    <w:rsid w:val="00E209AF"/>
    <w:rsid w:val="00E209FB"/>
    <w:rsid w:val="00E21335"/>
    <w:rsid w:val="00E213B5"/>
    <w:rsid w:val="00E25B4E"/>
    <w:rsid w:val="00E26A3C"/>
    <w:rsid w:val="00E274BE"/>
    <w:rsid w:val="00E30FD5"/>
    <w:rsid w:val="00E32802"/>
    <w:rsid w:val="00E37AF2"/>
    <w:rsid w:val="00E40D43"/>
    <w:rsid w:val="00E412EF"/>
    <w:rsid w:val="00E424CD"/>
    <w:rsid w:val="00E425ED"/>
    <w:rsid w:val="00E42865"/>
    <w:rsid w:val="00E42C27"/>
    <w:rsid w:val="00E44612"/>
    <w:rsid w:val="00E450AB"/>
    <w:rsid w:val="00E45127"/>
    <w:rsid w:val="00E527BE"/>
    <w:rsid w:val="00E54F2D"/>
    <w:rsid w:val="00E5560C"/>
    <w:rsid w:val="00E61687"/>
    <w:rsid w:val="00E7055E"/>
    <w:rsid w:val="00E7111C"/>
    <w:rsid w:val="00E73323"/>
    <w:rsid w:val="00E7372B"/>
    <w:rsid w:val="00E74429"/>
    <w:rsid w:val="00E75879"/>
    <w:rsid w:val="00E76F84"/>
    <w:rsid w:val="00E776DF"/>
    <w:rsid w:val="00E80FD8"/>
    <w:rsid w:val="00E81A1E"/>
    <w:rsid w:val="00E827B6"/>
    <w:rsid w:val="00E85AB8"/>
    <w:rsid w:val="00E86FCE"/>
    <w:rsid w:val="00E876DF"/>
    <w:rsid w:val="00E908A1"/>
    <w:rsid w:val="00E919E2"/>
    <w:rsid w:val="00E92C22"/>
    <w:rsid w:val="00EA1095"/>
    <w:rsid w:val="00EA5D0C"/>
    <w:rsid w:val="00EA5DF2"/>
    <w:rsid w:val="00EA6F5C"/>
    <w:rsid w:val="00EB151E"/>
    <w:rsid w:val="00EB3A70"/>
    <w:rsid w:val="00EB46CD"/>
    <w:rsid w:val="00EB490B"/>
    <w:rsid w:val="00EB5E66"/>
    <w:rsid w:val="00EB6BDF"/>
    <w:rsid w:val="00EC21D9"/>
    <w:rsid w:val="00EC31A0"/>
    <w:rsid w:val="00EC7396"/>
    <w:rsid w:val="00EC7FA6"/>
    <w:rsid w:val="00ED30F9"/>
    <w:rsid w:val="00ED3908"/>
    <w:rsid w:val="00ED3E87"/>
    <w:rsid w:val="00ED4599"/>
    <w:rsid w:val="00ED5BD7"/>
    <w:rsid w:val="00EE2B15"/>
    <w:rsid w:val="00EE3EB0"/>
    <w:rsid w:val="00EE4736"/>
    <w:rsid w:val="00EF42A7"/>
    <w:rsid w:val="00EF466A"/>
    <w:rsid w:val="00EF5076"/>
    <w:rsid w:val="00EF55F9"/>
    <w:rsid w:val="00EF5AEE"/>
    <w:rsid w:val="00EF6331"/>
    <w:rsid w:val="00EF7E4C"/>
    <w:rsid w:val="00F00C85"/>
    <w:rsid w:val="00F040B9"/>
    <w:rsid w:val="00F04C01"/>
    <w:rsid w:val="00F051DB"/>
    <w:rsid w:val="00F060A4"/>
    <w:rsid w:val="00F12649"/>
    <w:rsid w:val="00F13FB9"/>
    <w:rsid w:val="00F16F82"/>
    <w:rsid w:val="00F208AB"/>
    <w:rsid w:val="00F244D4"/>
    <w:rsid w:val="00F24926"/>
    <w:rsid w:val="00F2498D"/>
    <w:rsid w:val="00F24D83"/>
    <w:rsid w:val="00F25770"/>
    <w:rsid w:val="00F31774"/>
    <w:rsid w:val="00F32047"/>
    <w:rsid w:val="00F32A8E"/>
    <w:rsid w:val="00F349DF"/>
    <w:rsid w:val="00F35FBF"/>
    <w:rsid w:val="00F37DBA"/>
    <w:rsid w:val="00F422FD"/>
    <w:rsid w:val="00F42359"/>
    <w:rsid w:val="00F52428"/>
    <w:rsid w:val="00F52BAB"/>
    <w:rsid w:val="00F54553"/>
    <w:rsid w:val="00F5614A"/>
    <w:rsid w:val="00F6002E"/>
    <w:rsid w:val="00F637A2"/>
    <w:rsid w:val="00F63EAA"/>
    <w:rsid w:val="00F656DB"/>
    <w:rsid w:val="00F65CAE"/>
    <w:rsid w:val="00F6704B"/>
    <w:rsid w:val="00F716AD"/>
    <w:rsid w:val="00F72C1B"/>
    <w:rsid w:val="00F82695"/>
    <w:rsid w:val="00F82EF2"/>
    <w:rsid w:val="00F83813"/>
    <w:rsid w:val="00F8437B"/>
    <w:rsid w:val="00F86088"/>
    <w:rsid w:val="00F86A23"/>
    <w:rsid w:val="00F90007"/>
    <w:rsid w:val="00F9136A"/>
    <w:rsid w:val="00F9209D"/>
    <w:rsid w:val="00F938E1"/>
    <w:rsid w:val="00F9409E"/>
    <w:rsid w:val="00F950DD"/>
    <w:rsid w:val="00F9530E"/>
    <w:rsid w:val="00F967D1"/>
    <w:rsid w:val="00F97745"/>
    <w:rsid w:val="00FA2687"/>
    <w:rsid w:val="00FA3128"/>
    <w:rsid w:val="00FA3501"/>
    <w:rsid w:val="00FA3AE2"/>
    <w:rsid w:val="00FA653C"/>
    <w:rsid w:val="00FA6ECE"/>
    <w:rsid w:val="00FA7F13"/>
    <w:rsid w:val="00FB0AD0"/>
    <w:rsid w:val="00FB1442"/>
    <w:rsid w:val="00FB252B"/>
    <w:rsid w:val="00FB344F"/>
    <w:rsid w:val="00FB7746"/>
    <w:rsid w:val="00FC01A3"/>
    <w:rsid w:val="00FC02B4"/>
    <w:rsid w:val="00FC22E1"/>
    <w:rsid w:val="00FC2DC6"/>
    <w:rsid w:val="00FC4C6C"/>
    <w:rsid w:val="00FC6631"/>
    <w:rsid w:val="00FC70F0"/>
    <w:rsid w:val="00FD0100"/>
    <w:rsid w:val="00FD01CD"/>
    <w:rsid w:val="00FD0463"/>
    <w:rsid w:val="00FD0A6A"/>
    <w:rsid w:val="00FD2F5B"/>
    <w:rsid w:val="00FD3ABD"/>
    <w:rsid w:val="00FD3B66"/>
    <w:rsid w:val="00FD451A"/>
    <w:rsid w:val="00FD6E77"/>
    <w:rsid w:val="00FE06C2"/>
    <w:rsid w:val="00FE1D24"/>
    <w:rsid w:val="00FE2135"/>
    <w:rsid w:val="00FE465D"/>
    <w:rsid w:val="00FE4EBF"/>
    <w:rsid w:val="00FE50CA"/>
    <w:rsid w:val="00FE6400"/>
    <w:rsid w:val="00FE6BA4"/>
    <w:rsid w:val="00FE6FCB"/>
    <w:rsid w:val="00FF0EB2"/>
    <w:rsid w:val="00FF39A3"/>
    <w:rsid w:val="00FF483F"/>
    <w:rsid w:val="00FF64C7"/>
    <w:rsid w:val="00FF73D4"/>
    <w:rsid w:val="05101613"/>
    <w:rsid w:val="0EBCDEB5"/>
    <w:rsid w:val="0ED9B5EE"/>
    <w:rsid w:val="16919AB0"/>
    <w:rsid w:val="1786983A"/>
    <w:rsid w:val="1F49596F"/>
    <w:rsid w:val="2BFF843A"/>
    <w:rsid w:val="31D0182B"/>
    <w:rsid w:val="36E02078"/>
    <w:rsid w:val="409A3AB0"/>
    <w:rsid w:val="4171884E"/>
    <w:rsid w:val="449531E3"/>
    <w:rsid w:val="4614622F"/>
    <w:rsid w:val="461F44FE"/>
    <w:rsid w:val="4A94BAAA"/>
    <w:rsid w:val="4C89D0D4"/>
    <w:rsid w:val="5004EDB4"/>
    <w:rsid w:val="503DE357"/>
    <w:rsid w:val="51B3FD1A"/>
    <w:rsid w:val="52A2D530"/>
    <w:rsid w:val="5B92168B"/>
    <w:rsid w:val="5FB6B004"/>
    <w:rsid w:val="618160C7"/>
    <w:rsid w:val="67A03096"/>
    <w:rsid w:val="67C08506"/>
    <w:rsid w:val="6B2B1DB4"/>
    <w:rsid w:val="6F5EF861"/>
    <w:rsid w:val="706D75E2"/>
    <w:rsid w:val="717C5781"/>
    <w:rsid w:val="7452728F"/>
    <w:rsid w:val="75ED069D"/>
    <w:rsid w:val="75F3FD83"/>
    <w:rsid w:val="77EDB4DF"/>
    <w:rsid w:val="78BE1E34"/>
    <w:rsid w:val="793742DF"/>
    <w:rsid w:val="79A2C92E"/>
    <w:rsid w:val="79DF8C11"/>
    <w:rsid w:val="7D3E26C3"/>
    <w:rsid w:val="7D50F7C6"/>
    <w:rsid w:val="7ED43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7995FC"/>
  <w15:chartTrackingRefBased/>
  <w15:docId w15:val="{7FC75078-4DA6-4731-BF49-0001A950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kwell Nova" w:eastAsia="MS Mincho" w:hAnsi="Rockwell Nov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4C7"/>
    <w:pPr>
      <w:spacing w:before="120" w:line="276" w:lineRule="auto"/>
    </w:pPr>
    <w:rPr>
      <w:rFonts w:ascii="Arial" w:hAnsi="Arial" w:cs="Arial"/>
      <w:color w:val="000000"/>
      <w:sz w:val="24"/>
      <w:lang w:val="en-GB" w:eastAsia="en-US"/>
    </w:rPr>
  </w:style>
  <w:style w:type="paragraph" w:styleId="Heading1">
    <w:name w:val="heading 1"/>
    <w:basedOn w:val="Normal"/>
    <w:next w:val="Normal"/>
    <w:link w:val="Heading1Char"/>
    <w:autoRedefine/>
    <w:uiPriority w:val="9"/>
    <w:qFormat/>
    <w:rsid w:val="001F5017"/>
    <w:pPr>
      <w:keepNext/>
      <w:keepLines/>
      <w:spacing w:before="360"/>
      <w:outlineLvl w:val="0"/>
    </w:pPr>
    <w:rPr>
      <w:rFonts w:eastAsia="MS Gothic" w:cs="Traditional Arabic"/>
      <w:b/>
      <w:bCs/>
      <w:shd w:val="clear" w:color="auto" w:fill="FFFFFF"/>
      <w:lang w:eastAsia="x-none"/>
    </w:rPr>
  </w:style>
  <w:style w:type="paragraph" w:styleId="Heading2">
    <w:name w:val="heading 2"/>
    <w:basedOn w:val="Normal"/>
    <w:next w:val="Normal"/>
    <w:link w:val="Heading2Char"/>
    <w:uiPriority w:val="9"/>
    <w:unhideWhenUsed/>
    <w:qFormat/>
    <w:rsid w:val="008171B7"/>
    <w:pPr>
      <w:keepNext/>
      <w:outlineLvl w:val="1"/>
    </w:pPr>
    <w:rPr>
      <w:rFonts w:eastAsia="Times New Roman"/>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F5017"/>
    <w:rPr>
      <w:rFonts w:eastAsia="MS Gothic" w:cs="Traditional Arabic"/>
      <w:b/>
      <w:bCs/>
      <w:color w:val="2F0F23"/>
      <w:sz w:val="24"/>
      <w:lang w:eastAsia="x-none"/>
    </w:rPr>
  </w:style>
  <w:style w:type="paragraph" w:customStyle="1" w:styleId="ColorfulList-Accent11">
    <w:name w:val="Colorful List - Accent 11"/>
    <w:basedOn w:val="Normal"/>
    <w:autoRedefine/>
    <w:uiPriority w:val="34"/>
    <w:qFormat/>
    <w:rsid w:val="007821FD"/>
    <w:pPr>
      <w:numPr>
        <w:numId w:val="2"/>
      </w:numPr>
    </w:pPr>
    <w:rPr>
      <w:rFonts w:eastAsia="Times New Roman"/>
      <w:b/>
    </w:rPr>
  </w:style>
  <w:style w:type="paragraph" w:styleId="TOC1">
    <w:name w:val="toc 1"/>
    <w:basedOn w:val="Normal"/>
    <w:next w:val="Normal"/>
    <w:autoRedefine/>
    <w:uiPriority w:val="39"/>
    <w:unhideWhenUsed/>
    <w:qFormat/>
    <w:rsid w:val="001F5017"/>
    <w:pPr>
      <w:tabs>
        <w:tab w:val="right" w:leader="dot" w:pos="9338"/>
      </w:tabs>
    </w:pPr>
    <w:rPr>
      <w:noProof/>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pPr>
    <w:rPr>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pPr>
    <w:rPr>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7C7461"/>
    <w:pPr>
      <w:jc w:val="center"/>
    </w:pPr>
    <w:rPr>
      <w:sz w:val="44"/>
    </w:rPr>
  </w:style>
  <w:style w:type="character" w:customStyle="1" w:styleId="Title1Char">
    <w:name w:val="Title 1 Char"/>
    <w:link w:val="Title1"/>
    <w:rsid w:val="007C7461"/>
    <w:rPr>
      <w:rFonts w:ascii="Arial" w:eastAsia="MS Gothic" w:hAnsi="Arial" w:cs="Arial"/>
      <w:b/>
      <w:bCs/>
      <w:color w:val="2F0F23"/>
      <w:sz w:val="44"/>
      <w:lang w:eastAsia="x-none"/>
    </w:rPr>
  </w:style>
  <w:style w:type="paragraph" w:styleId="BalloonText">
    <w:name w:val="Balloon Text"/>
    <w:basedOn w:val="Normal"/>
    <w:link w:val="BalloonTextChar"/>
    <w:uiPriority w:val="99"/>
    <w:semiHidden/>
    <w:unhideWhenUsed/>
    <w:rsid w:val="00795C90"/>
    <w:pPr>
      <w:spacing w:before="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17AE2"/>
    <w:pPr>
      <w:spacing w:before="0" w:after="160"/>
      <w:ind w:left="720"/>
      <w:contextualSpacing/>
    </w:pPr>
    <w:rPr>
      <w:rFonts w:eastAsia="Calibri"/>
      <w:szCs w:val="22"/>
    </w:rPr>
  </w:style>
  <w:style w:type="paragraph" w:styleId="NormalWeb">
    <w:name w:val="Normal (Web)"/>
    <w:basedOn w:val="Normal"/>
    <w:uiPriority w:val="99"/>
    <w:semiHidden/>
    <w:unhideWhenUsed/>
    <w:rsid w:val="00FD2F5B"/>
    <w:pPr>
      <w:spacing w:before="100" w:beforeAutospacing="1" w:after="100" w:afterAutospacing="1"/>
    </w:pPr>
    <w:rPr>
      <w:rFonts w:ascii="Times New Roman" w:eastAsia="Times New Roman" w:hAnsi="Times New Roman"/>
      <w:lang w:eastAsia="en-GB"/>
    </w:rPr>
  </w:style>
  <w:style w:type="character" w:styleId="Emphasis">
    <w:name w:val="Emphasis"/>
    <w:qFormat/>
    <w:rsid w:val="00E54F2D"/>
    <w:rPr>
      <w:i/>
      <w:iCs/>
    </w:rPr>
  </w:style>
  <w:style w:type="character" w:customStyle="1" w:styleId="apple-converted-space">
    <w:name w:val="apple-converted-space"/>
    <w:rsid w:val="00924D83"/>
  </w:style>
  <w:style w:type="character" w:styleId="CommentReference">
    <w:name w:val="annotation reference"/>
    <w:uiPriority w:val="99"/>
    <w:semiHidden/>
    <w:unhideWhenUsed/>
    <w:rsid w:val="00182678"/>
    <w:rPr>
      <w:sz w:val="16"/>
      <w:szCs w:val="16"/>
    </w:rPr>
  </w:style>
  <w:style w:type="paragraph" w:styleId="CommentText">
    <w:name w:val="annotation text"/>
    <w:basedOn w:val="Normal"/>
    <w:link w:val="CommentTextChar"/>
    <w:uiPriority w:val="99"/>
    <w:unhideWhenUsed/>
    <w:rsid w:val="00182678"/>
  </w:style>
  <w:style w:type="character" w:customStyle="1" w:styleId="CommentTextChar">
    <w:name w:val="Comment Text Char"/>
    <w:link w:val="CommentText"/>
    <w:uiPriority w:val="99"/>
    <w:rsid w:val="00182678"/>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82678"/>
    <w:rPr>
      <w:b/>
      <w:bCs/>
    </w:rPr>
  </w:style>
  <w:style w:type="character" w:customStyle="1" w:styleId="CommentSubjectChar">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customStyle="1" w:styleId="legclearfix">
    <w:name w:val="legclearfix"/>
    <w:basedOn w:val="Normal"/>
    <w:rsid w:val="00281896"/>
    <w:pPr>
      <w:spacing w:before="100" w:beforeAutospacing="1" w:after="100" w:afterAutospacing="1"/>
    </w:pPr>
    <w:rPr>
      <w:rFonts w:ascii="Times New Roman" w:eastAsia="Times New Roman" w:hAnsi="Times New Roman"/>
      <w:lang w:eastAsia="en-GB"/>
    </w:rPr>
  </w:style>
  <w:style w:type="character" w:customStyle="1" w:styleId="legds">
    <w:name w:val="legds"/>
    <w:rsid w:val="00281896"/>
  </w:style>
  <w:style w:type="paragraph" w:customStyle="1" w:styleId="legrhs">
    <w:name w:val="legrhs"/>
    <w:basedOn w:val="Normal"/>
    <w:rsid w:val="00281896"/>
    <w:pPr>
      <w:spacing w:before="100" w:beforeAutospacing="1" w:after="100" w:afterAutospacing="1"/>
    </w:pPr>
    <w:rPr>
      <w:rFonts w:ascii="Times New Roman" w:eastAsia="Times New Roman" w:hAnsi="Times New Roman"/>
      <w:lang w:eastAsia="en-GB"/>
    </w:rPr>
  </w:style>
  <w:style w:type="character" w:customStyle="1" w:styleId="toc-search-keyword">
    <w:name w:val="toc-search-keyword"/>
    <w:rsid w:val="00546C18"/>
  </w:style>
  <w:style w:type="character" w:customStyle="1" w:styleId="Heading2Char">
    <w:name w:val="Heading 2 Char"/>
    <w:link w:val="Heading2"/>
    <w:uiPriority w:val="9"/>
    <w:rsid w:val="008171B7"/>
    <w:rPr>
      <w:rFonts w:eastAsia="Times New Roman" w:cs="Arial"/>
      <w:b/>
      <w:bCs/>
      <w:iCs/>
      <w:color w:val="2F0F23"/>
      <w:sz w:val="22"/>
      <w:szCs w:val="28"/>
      <w:lang w:eastAsia="en-US"/>
    </w:rPr>
  </w:style>
  <w:style w:type="character" w:styleId="UnresolvedMention">
    <w:name w:val="Unresolved Mention"/>
    <w:uiPriority w:val="99"/>
    <w:semiHidden/>
    <w:unhideWhenUsed/>
    <w:rsid w:val="001F5017"/>
    <w:rPr>
      <w:color w:val="605E5C"/>
      <w:shd w:val="clear" w:color="auto" w:fill="E1DFDD"/>
    </w:rPr>
  </w:style>
  <w:style w:type="paragraph" w:styleId="TOCHeading">
    <w:name w:val="TOC Heading"/>
    <w:basedOn w:val="Heading1"/>
    <w:next w:val="Normal"/>
    <w:uiPriority w:val="39"/>
    <w:unhideWhenUsed/>
    <w:qFormat/>
    <w:rsid w:val="001F5017"/>
    <w:pPr>
      <w:spacing w:before="240" w:line="259" w:lineRule="auto"/>
      <w:outlineLvl w:val="9"/>
    </w:pPr>
    <w:rPr>
      <w:rFonts w:ascii="Calibri Light" w:eastAsia="Times New Roman" w:hAnsi="Calibri Light" w:cs="Times New Roman"/>
      <w:b w:val="0"/>
      <w:bCs w:val="0"/>
      <w:color w:val="2F0F23"/>
      <w:sz w:val="32"/>
      <w:szCs w:val="32"/>
      <w:shd w:val="clear" w:color="auto" w:fil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46141912">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628243354">
      <w:bodyDiv w:val="1"/>
      <w:marLeft w:val="0"/>
      <w:marRight w:val="0"/>
      <w:marTop w:val="0"/>
      <w:marBottom w:val="0"/>
      <w:divBdr>
        <w:top w:val="none" w:sz="0" w:space="0" w:color="auto"/>
        <w:left w:val="none" w:sz="0" w:space="0" w:color="auto"/>
        <w:bottom w:val="none" w:sz="0" w:space="0" w:color="auto"/>
        <w:right w:val="none" w:sz="0" w:space="0" w:color="auto"/>
      </w:divBdr>
    </w:div>
    <w:div w:id="950168791">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460227985">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493063558">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94329829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659E41-8818-4580-967E-B898F6F2EE95}">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customXml/itemProps2.xml><?xml version="1.0" encoding="utf-8"?>
<ds:datastoreItem xmlns:ds="http://schemas.openxmlformats.org/officeDocument/2006/customXml" ds:itemID="{33C0282E-ACA9-45C7-866A-783C6E3D7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502FFE-2457-4B9A-8F43-C05149C3530E}">
  <ds:schemaRefs>
    <ds:schemaRef ds:uri="http://schemas.openxmlformats.org/officeDocument/2006/bibliography"/>
  </ds:schemaRefs>
</ds:datastoreItem>
</file>

<file path=customXml/itemProps4.xml><?xml version="1.0" encoding="utf-8"?>
<ds:datastoreItem xmlns:ds="http://schemas.openxmlformats.org/officeDocument/2006/customXml" ds:itemID="{8C8582D0-9193-41BA-9E8E-5D407B3974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2320</Words>
  <Characters>13225</Characters>
  <Application>Microsoft Office Word</Application>
  <DocSecurity>0</DocSecurity>
  <Lines>110</Lines>
  <Paragraphs>31</Paragraphs>
  <ScaleCrop>false</ScaleCrop>
  <Company>The Key</Company>
  <LinksUpToDate>false</LinksUpToDate>
  <CharactersWithSpaces>15514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DC115 Dovecote School Modern Slavery and Human Trafficking Policy</dc:title>
  <dc:subject>Dovecote School policy</dc:subject>
  <dc:creator>Dovecote School</dc:creator>
  <cp:keywords/>
  <dc:description/>
  <cp:lastModifiedBy>Sam Andrews</cp:lastModifiedBy>
  <cp:revision>2</cp:revision>
  <cp:lastPrinted>2018-02-14T06:33:00Z</cp:lastPrinted>
  <dcterms:created xsi:type="dcterms:W3CDTF">2026-09-14T11:36:00Z</dcterms:created>
  <dcterms:modified xsi:type="dcterms:W3CDTF">2026-09-14T11:36:00Z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