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DF5D7" w14:textId="77777777" w:rsidR="008863B3" w:rsidRDefault="00122C34" w:rsidP="00DB5E69">
      <w:pPr>
        <w:spacing w:after="200"/>
        <w:jc w:val="center"/>
      </w:pPr>
      <w:r>
        <w:rPr>
          <w:noProof/>
        </w:rPr>
        <w:drawing>
          <wp:inline distT="0" distB="0" distL="0" distR="0" wp14:anchorId="6A662FF0" wp14:editId="6D49FE79">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3CAD28C0" w14:textId="77777777" w:rsidR="008863B3" w:rsidRDefault="00122C34" w:rsidP="00DB5E69">
      <w:pPr>
        <w:pStyle w:val="Title"/>
        <w:spacing w:after="0"/>
        <w:jc w:val="center"/>
      </w:pPr>
      <w:r>
        <w:t>Dovecote School</w:t>
      </w:r>
    </w:p>
    <w:p w14:paraId="5A011A1A" w14:textId="77777777" w:rsidR="008863B3" w:rsidRDefault="00122C34" w:rsidP="00DB5E69">
      <w:pPr>
        <w:pStyle w:val="Title"/>
        <w:spacing w:after="300"/>
        <w:jc w:val="center"/>
      </w:pPr>
      <w:r>
        <w:t>Risk Assessment Policy</w:t>
      </w:r>
    </w:p>
    <w:p w14:paraId="0DC10C21" w14:textId="77777777" w:rsidR="00DB5E69" w:rsidRDefault="00DB5E69" w:rsidP="00DB5E69">
      <w:pPr>
        <w:pStyle w:val="Title"/>
        <w:spacing w:after="300"/>
        <w:jc w:val="center"/>
      </w:pPr>
    </w:p>
    <w:p w14:paraId="563D3AD9" w14:textId="77777777" w:rsidR="00DB5E69" w:rsidRPr="00DB5E69" w:rsidRDefault="00DB5E69" w:rsidP="00DB5E69">
      <w:pPr>
        <w:pStyle w:val="Title"/>
        <w:spacing w:after="300" w:line="276"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1"/>
        <w:gridCol w:w="6815"/>
      </w:tblGrid>
      <w:tr w:rsidR="008863B3" w:rsidRPr="00DB5E69" w14:paraId="62ED9520" w14:textId="77777777">
        <w:tblPrEx>
          <w:tblCellMar>
            <w:top w:w="0" w:type="dxa"/>
            <w:bottom w:w="0" w:type="dxa"/>
          </w:tblCellMar>
        </w:tblPrEx>
        <w:tc>
          <w:tcPr>
            <w:tcW w:w="1500" w:type="pct"/>
            <w:shd w:val="clear" w:color="auto" w:fill="F2F2F2"/>
          </w:tcPr>
          <w:p w14:paraId="775334CE"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Responsible Person</w:t>
            </w:r>
          </w:p>
        </w:tc>
        <w:tc>
          <w:tcPr>
            <w:tcW w:w="3500" w:type="pct"/>
          </w:tcPr>
          <w:p w14:paraId="4E1DA91D"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Health and Safety Lead, overseen by the Headteacher</w:t>
            </w:r>
          </w:p>
        </w:tc>
      </w:tr>
      <w:tr w:rsidR="008863B3" w:rsidRPr="00DB5E69" w14:paraId="4442CA64" w14:textId="77777777">
        <w:tblPrEx>
          <w:tblCellMar>
            <w:top w:w="0" w:type="dxa"/>
            <w:bottom w:w="0" w:type="dxa"/>
          </w:tblCellMar>
        </w:tblPrEx>
        <w:tc>
          <w:tcPr>
            <w:tcW w:w="1500" w:type="pct"/>
            <w:shd w:val="clear" w:color="auto" w:fill="F2F2F2"/>
          </w:tcPr>
          <w:p w14:paraId="4F7ED36D"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Approved By</w:t>
            </w:r>
          </w:p>
        </w:tc>
        <w:tc>
          <w:tcPr>
            <w:tcW w:w="3500" w:type="pct"/>
          </w:tcPr>
          <w:p w14:paraId="4F81DE87"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Neil Gage, Headteacher</w:t>
            </w:r>
          </w:p>
        </w:tc>
      </w:tr>
      <w:tr w:rsidR="008863B3" w:rsidRPr="00DB5E69" w14:paraId="18764BFD" w14:textId="77777777">
        <w:tblPrEx>
          <w:tblCellMar>
            <w:top w:w="0" w:type="dxa"/>
            <w:bottom w:w="0" w:type="dxa"/>
          </w:tblCellMar>
        </w:tblPrEx>
        <w:tc>
          <w:tcPr>
            <w:tcW w:w="1500" w:type="pct"/>
            <w:shd w:val="clear" w:color="auto" w:fill="F2F2F2"/>
          </w:tcPr>
          <w:p w14:paraId="515B4701"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Review Cycle</w:t>
            </w:r>
          </w:p>
        </w:tc>
        <w:tc>
          <w:tcPr>
            <w:tcW w:w="3500" w:type="pct"/>
          </w:tcPr>
          <w:p w14:paraId="35BFC1B0"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Annual</w:t>
            </w:r>
          </w:p>
        </w:tc>
      </w:tr>
      <w:tr w:rsidR="008863B3" w:rsidRPr="00DB5E69" w14:paraId="4360484A" w14:textId="77777777">
        <w:tblPrEx>
          <w:tblCellMar>
            <w:top w:w="0" w:type="dxa"/>
            <w:bottom w:w="0" w:type="dxa"/>
          </w:tblCellMar>
        </w:tblPrEx>
        <w:tc>
          <w:tcPr>
            <w:tcW w:w="1500" w:type="pct"/>
            <w:shd w:val="clear" w:color="auto" w:fill="F2F2F2"/>
          </w:tcPr>
          <w:p w14:paraId="0D4DF497"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Last Review Date</w:t>
            </w:r>
          </w:p>
        </w:tc>
        <w:tc>
          <w:tcPr>
            <w:tcW w:w="3500" w:type="pct"/>
          </w:tcPr>
          <w:p w14:paraId="02AD09DE"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September 2026</w:t>
            </w:r>
          </w:p>
        </w:tc>
      </w:tr>
      <w:tr w:rsidR="008863B3" w:rsidRPr="00DB5E69" w14:paraId="270C93BC" w14:textId="77777777">
        <w:tblPrEx>
          <w:tblCellMar>
            <w:top w:w="0" w:type="dxa"/>
            <w:bottom w:w="0" w:type="dxa"/>
          </w:tblCellMar>
        </w:tblPrEx>
        <w:tc>
          <w:tcPr>
            <w:tcW w:w="1500" w:type="pct"/>
            <w:shd w:val="clear" w:color="auto" w:fill="F2F2F2"/>
          </w:tcPr>
          <w:p w14:paraId="5FC21307"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Next Review Date</w:t>
            </w:r>
          </w:p>
        </w:tc>
        <w:tc>
          <w:tcPr>
            <w:tcW w:w="3500" w:type="pct"/>
          </w:tcPr>
          <w:p w14:paraId="3360E3B6"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September 2027</w:t>
            </w:r>
          </w:p>
        </w:tc>
      </w:tr>
    </w:tbl>
    <w:p w14:paraId="288C6C3D"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br w:type="page"/>
      </w:r>
    </w:p>
    <w:p w14:paraId="2E212AF1"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lastRenderedPageBreak/>
        <w:t>Dovecote School is owned and operated by Cavendish Education.</w:t>
      </w:r>
    </w:p>
    <w:p w14:paraId="49791DAB"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DB5E69">
        <w:rPr>
          <w:rFonts w:ascii="Arial" w:hAnsi="Arial" w:cs="Arial"/>
          <w:sz w:val="24"/>
          <w:szCs w:val="24"/>
        </w:rPr>
        <w:t>In particular it</w:t>
      </w:r>
      <w:proofErr w:type="gramEnd"/>
      <w:r w:rsidRPr="00DB5E69">
        <w:rPr>
          <w:rFonts w:ascii="Arial" w:hAnsi="Arial" w:cs="Arial"/>
          <w:sz w:val="24"/>
          <w:szCs w:val="24"/>
        </w:rPr>
        <w:t xml:space="preserve"> should be read in conjunction with the policies covering Health and Safety, Fire Safety, safeguarding and child protection.</w:t>
      </w:r>
    </w:p>
    <w:p w14:paraId="4673F2DA" w14:textId="77777777" w:rsidR="008863B3" w:rsidRPr="00DB5E69" w:rsidRDefault="00122C34" w:rsidP="00DB5E69">
      <w:pPr>
        <w:spacing w:after="160" w:line="276" w:lineRule="auto"/>
        <w:rPr>
          <w:rFonts w:ascii="Arial" w:hAnsi="Arial" w:cs="Arial"/>
          <w:sz w:val="24"/>
          <w:szCs w:val="24"/>
        </w:rPr>
      </w:pPr>
      <w:proofErr w:type="gramStart"/>
      <w:r w:rsidRPr="00DB5E69">
        <w:rPr>
          <w:rFonts w:ascii="Arial" w:hAnsi="Arial" w:cs="Arial"/>
          <w:sz w:val="24"/>
          <w:szCs w:val="24"/>
        </w:rPr>
        <w:t>All of</w:t>
      </w:r>
      <w:proofErr w:type="gramEnd"/>
      <w:r w:rsidRPr="00DB5E69">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693864D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While this current policy document may be referred to elsewhere in Dovecote School documentation, including particulars of employment, it is non-contractual.</w:t>
      </w:r>
    </w:p>
    <w:p w14:paraId="33818F8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0C6C1ED0"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all biological parents, whether they are married or not</w:t>
      </w:r>
    </w:p>
    <w:p w14:paraId="2AE6D33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 xml:space="preserve">any person who, although not a biological parent, has parental responsibility for a child or young person – this could be an adoptive parent, a </w:t>
      </w:r>
      <w:proofErr w:type="gramStart"/>
      <w:r w:rsidRPr="00DB5E69">
        <w:rPr>
          <w:rFonts w:ascii="Arial" w:hAnsi="Arial" w:cs="Arial"/>
          <w:sz w:val="24"/>
          <w:szCs w:val="24"/>
        </w:rPr>
        <w:t>step-parent</w:t>
      </w:r>
      <w:proofErr w:type="gramEnd"/>
      <w:r w:rsidRPr="00DB5E69">
        <w:rPr>
          <w:rFonts w:ascii="Arial" w:hAnsi="Arial" w:cs="Arial"/>
          <w:sz w:val="24"/>
          <w:szCs w:val="24"/>
        </w:rPr>
        <w:t>, guardian or other relative</w:t>
      </w:r>
    </w:p>
    <w:p w14:paraId="744129D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any person who, although not a biological parent and does not have parental responsibility, has care of a child or young person</w:t>
      </w:r>
    </w:p>
    <w:p w14:paraId="02EFD111"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45341B4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employs the services of the following consulting companies to ensure regulatory compliance and the implementation of best practice:</w:t>
      </w:r>
    </w:p>
    <w:p w14:paraId="7B06F25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WorkNest (HR &amp; employment law)</w:t>
      </w:r>
    </w:p>
    <w:p w14:paraId="548C075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SchoolPro TLC (data protection)</w:t>
      </w:r>
    </w:p>
    <w:p w14:paraId="1B035C1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iAmCompliant (compliance management)</w:t>
      </w:r>
    </w:p>
    <w:p w14:paraId="6AF1C2DD"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and governors.</w:t>
      </w:r>
    </w:p>
    <w:p w14:paraId="57CD7B90"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Dovecote School is committed to safeguarding and promoting the welfare of children and young people and expects all staff, volunteers, pupils and visitors to share this commitment.</w:t>
      </w:r>
    </w:p>
    <w:p w14:paraId="010A371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All outcomes generated by this document must take account of and seek to contribute to safeguarding and promoting the welfare of children and young people at Dovecote School.</w:t>
      </w:r>
    </w:p>
    <w:p w14:paraId="7FEFC617"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2C8F59AB"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br w:type="page"/>
      </w:r>
    </w:p>
    <w:p w14:paraId="126FB723" w14:textId="77777777" w:rsidR="008863B3" w:rsidRPr="00DB5E69" w:rsidRDefault="00122C34" w:rsidP="00DB5E69">
      <w:pPr>
        <w:pStyle w:val="Heading1"/>
        <w:spacing w:line="276" w:lineRule="auto"/>
        <w:rPr>
          <w:rFonts w:ascii="Arial" w:hAnsi="Arial" w:cs="Arial"/>
          <w:sz w:val="24"/>
          <w:szCs w:val="24"/>
        </w:rPr>
      </w:pPr>
      <w:bookmarkStart w:id="0" w:name="_Toc239931482"/>
      <w:r w:rsidRPr="00DB5E69">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752"/>
        <w:gridCol w:w="6815"/>
      </w:tblGrid>
      <w:tr w:rsidR="008863B3" w:rsidRPr="00DB5E69" w14:paraId="57D5B831" w14:textId="77777777">
        <w:tblPrEx>
          <w:tblCellMar>
            <w:top w:w="0" w:type="dxa"/>
            <w:bottom w:w="0" w:type="dxa"/>
          </w:tblCellMar>
        </w:tblPrEx>
        <w:trPr>
          <w:tblHeader/>
        </w:trPr>
        <w:tc>
          <w:tcPr>
            <w:tcW w:w="0" w:type="auto"/>
            <w:shd w:val="clear" w:color="auto" w:fill="1F3864"/>
          </w:tcPr>
          <w:p w14:paraId="62D16E2A"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Version</w:t>
            </w:r>
          </w:p>
        </w:tc>
        <w:tc>
          <w:tcPr>
            <w:tcW w:w="0" w:type="auto"/>
            <w:shd w:val="clear" w:color="auto" w:fill="1F3864"/>
          </w:tcPr>
          <w:p w14:paraId="177C20CB"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Date</w:t>
            </w:r>
          </w:p>
        </w:tc>
        <w:tc>
          <w:tcPr>
            <w:tcW w:w="0" w:type="auto"/>
            <w:shd w:val="clear" w:color="auto" w:fill="1F3864"/>
          </w:tcPr>
          <w:p w14:paraId="1002D5EE"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Description of changes and person/organisation responsible</w:t>
            </w:r>
          </w:p>
        </w:tc>
      </w:tr>
      <w:tr w:rsidR="008863B3" w:rsidRPr="00DB5E69" w14:paraId="571C0993" w14:textId="77777777">
        <w:tblPrEx>
          <w:tblCellMar>
            <w:top w:w="0" w:type="dxa"/>
            <w:bottom w:w="0" w:type="dxa"/>
          </w:tblCellMar>
        </w:tblPrEx>
        <w:tc>
          <w:tcPr>
            <w:tcW w:w="600" w:type="pct"/>
          </w:tcPr>
          <w:p w14:paraId="3D081A80"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1.0</w:t>
            </w:r>
          </w:p>
        </w:tc>
        <w:tc>
          <w:tcPr>
            <w:tcW w:w="900" w:type="pct"/>
          </w:tcPr>
          <w:p w14:paraId="7AED6D26"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September 2025</w:t>
            </w:r>
          </w:p>
        </w:tc>
        <w:tc>
          <w:tcPr>
            <w:tcW w:w="3500" w:type="pct"/>
          </w:tcPr>
          <w:p w14:paraId="0181440B"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Initial version, approved by Neil Gage (Headteacher).</w:t>
            </w:r>
          </w:p>
        </w:tc>
      </w:tr>
      <w:tr w:rsidR="008863B3" w:rsidRPr="00DB5E69" w14:paraId="5AB087A4" w14:textId="77777777">
        <w:tblPrEx>
          <w:tblCellMar>
            <w:top w:w="0" w:type="dxa"/>
            <w:bottom w:w="0" w:type="dxa"/>
          </w:tblCellMar>
        </w:tblPrEx>
        <w:tc>
          <w:tcPr>
            <w:tcW w:w="600" w:type="pct"/>
          </w:tcPr>
          <w:p w14:paraId="69A8335A"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2.0</w:t>
            </w:r>
          </w:p>
        </w:tc>
        <w:tc>
          <w:tcPr>
            <w:tcW w:w="900" w:type="pct"/>
          </w:tcPr>
          <w:p w14:paraId="74C6FF06"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September 2026</w:t>
            </w:r>
          </w:p>
        </w:tc>
        <w:tc>
          <w:tcPr>
            <w:tcW w:w="3500" w:type="pct"/>
          </w:tcPr>
          <w:p w14:paraId="113288A3"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Full review and rewrite by the Health and Safety Lead. Aligned with the Cavendish Education group Risk Assessment Policy template, expanded to reference the full range of statutory risk assessments required by specific health and safety regulations (asbestos, COSHH, display screen equipment, manual handling, working at height, fire, Prevent), and a statutory risk assessments checklist added as an appendix. Reformatted onto the Dovecote School master policy template.</w:t>
            </w:r>
          </w:p>
        </w:tc>
      </w:tr>
    </w:tbl>
    <w:p w14:paraId="415081C9"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br w:type="page"/>
      </w:r>
    </w:p>
    <w:p w14:paraId="488FC261" w14:textId="77777777" w:rsidR="008863B3" w:rsidRPr="00DB5E69" w:rsidRDefault="00122C34" w:rsidP="00DB5E69">
      <w:pPr>
        <w:pStyle w:val="Heading1"/>
        <w:spacing w:line="276" w:lineRule="auto"/>
        <w:rPr>
          <w:rFonts w:ascii="Arial" w:hAnsi="Arial" w:cs="Arial"/>
          <w:sz w:val="24"/>
          <w:szCs w:val="24"/>
        </w:rPr>
      </w:pPr>
      <w:bookmarkStart w:id="1" w:name="_Toc239931483"/>
      <w:r w:rsidRPr="00DB5E69">
        <w:rPr>
          <w:rFonts w:ascii="Arial" w:hAnsi="Arial" w:cs="Arial"/>
          <w:sz w:val="24"/>
          <w:szCs w:val="24"/>
        </w:rPr>
        <w:lastRenderedPageBreak/>
        <w:t>Contents</w:t>
      </w:r>
      <w:bookmarkEnd w:id="1"/>
    </w:p>
    <w:sdt>
      <w:sdtPr>
        <w:rPr>
          <w:rFonts w:ascii="Arial" w:hAnsi="Arial" w:cs="Arial"/>
          <w:sz w:val="24"/>
          <w:szCs w:val="24"/>
        </w:rPr>
        <w:alias w:val="Contents"/>
        <w:id w:val="101842332"/>
      </w:sdtPr>
      <w:sdtEndPr/>
      <w:sdtContent>
        <w:p w14:paraId="5B475709" w14:textId="77777777" w:rsidR="00DB5E69" w:rsidRPr="00DB5E69" w:rsidRDefault="00122C34" w:rsidP="00DB5E69">
          <w:pPr>
            <w:pStyle w:val="TOC1"/>
            <w:tabs>
              <w:tab w:val="right" w:leader="dot" w:pos="9736"/>
            </w:tabs>
            <w:spacing w:line="276" w:lineRule="auto"/>
            <w:rPr>
              <w:rFonts w:ascii="Arial" w:hAnsi="Arial" w:cs="Arial"/>
              <w:noProof/>
              <w:sz w:val="24"/>
              <w:szCs w:val="24"/>
            </w:rPr>
          </w:pPr>
          <w:r w:rsidRPr="00DB5E69">
            <w:rPr>
              <w:rFonts w:ascii="Arial" w:hAnsi="Arial" w:cs="Arial"/>
              <w:sz w:val="24"/>
              <w:szCs w:val="24"/>
            </w:rPr>
            <w:fldChar w:fldCharType="begin"/>
          </w:r>
          <w:r w:rsidRPr="00DB5E69">
            <w:rPr>
              <w:rFonts w:ascii="Arial" w:hAnsi="Arial" w:cs="Arial"/>
              <w:sz w:val="24"/>
              <w:szCs w:val="24"/>
            </w:rPr>
            <w:instrText>TOC \h \o "1-2"</w:instrText>
          </w:r>
          <w:r w:rsidRPr="00DB5E69">
            <w:rPr>
              <w:rFonts w:ascii="Arial" w:hAnsi="Arial" w:cs="Arial"/>
              <w:sz w:val="24"/>
              <w:szCs w:val="24"/>
            </w:rPr>
            <w:fldChar w:fldCharType="separate"/>
          </w:r>
          <w:hyperlink w:anchor="_Toc239931482" w:history="1">
            <w:r w:rsidR="00DB5E69" w:rsidRPr="00DB5E69">
              <w:rPr>
                <w:rStyle w:val="Hyperlink"/>
                <w:rFonts w:ascii="Arial" w:hAnsi="Arial" w:cs="Arial"/>
                <w:noProof/>
                <w:sz w:val="24"/>
                <w:szCs w:val="24"/>
              </w:rPr>
              <w:t>Document Version Control Log</w:t>
            </w:r>
            <w:r w:rsidR="00DB5E69" w:rsidRPr="00DB5E69">
              <w:rPr>
                <w:rFonts w:ascii="Arial" w:hAnsi="Arial" w:cs="Arial"/>
                <w:noProof/>
                <w:sz w:val="24"/>
                <w:szCs w:val="24"/>
              </w:rPr>
              <w:tab/>
            </w:r>
            <w:r w:rsidR="00DB5E69" w:rsidRPr="00DB5E69">
              <w:rPr>
                <w:rFonts w:ascii="Arial" w:hAnsi="Arial" w:cs="Arial"/>
                <w:noProof/>
                <w:sz w:val="24"/>
                <w:szCs w:val="24"/>
              </w:rPr>
              <w:fldChar w:fldCharType="begin"/>
            </w:r>
            <w:r w:rsidR="00DB5E69" w:rsidRPr="00DB5E69">
              <w:rPr>
                <w:rFonts w:ascii="Arial" w:hAnsi="Arial" w:cs="Arial"/>
                <w:noProof/>
                <w:sz w:val="24"/>
                <w:szCs w:val="24"/>
              </w:rPr>
              <w:instrText xml:space="preserve"> PAGEREF _Toc239931482 \h </w:instrText>
            </w:r>
            <w:r w:rsidR="00DB5E69" w:rsidRPr="00DB5E69">
              <w:rPr>
                <w:rFonts w:ascii="Arial" w:hAnsi="Arial" w:cs="Arial"/>
                <w:noProof/>
                <w:sz w:val="24"/>
                <w:szCs w:val="24"/>
              </w:rPr>
            </w:r>
            <w:r w:rsidR="00DB5E69" w:rsidRPr="00DB5E69">
              <w:rPr>
                <w:rFonts w:ascii="Arial" w:hAnsi="Arial" w:cs="Arial"/>
                <w:noProof/>
                <w:sz w:val="24"/>
                <w:szCs w:val="24"/>
              </w:rPr>
              <w:fldChar w:fldCharType="separate"/>
            </w:r>
            <w:r w:rsidR="00DB5E69" w:rsidRPr="00DB5E69">
              <w:rPr>
                <w:rFonts w:ascii="Arial" w:hAnsi="Arial" w:cs="Arial"/>
                <w:noProof/>
                <w:sz w:val="24"/>
                <w:szCs w:val="24"/>
              </w:rPr>
              <w:t>1</w:t>
            </w:r>
            <w:r w:rsidR="00DB5E69" w:rsidRPr="00DB5E69">
              <w:rPr>
                <w:rFonts w:ascii="Arial" w:hAnsi="Arial" w:cs="Arial"/>
                <w:noProof/>
                <w:sz w:val="24"/>
                <w:szCs w:val="24"/>
              </w:rPr>
              <w:fldChar w:fldCharType="end"/>
            </w:r>
          </w:hyperlink>
        </w:p>
        <w:p w14:paraId="5AE2D42D"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83" w:history="1">
            <w:r w:rsidRPr="00DB5E69">
              <w:rPr>
                <w:rStyle w:val="Hyperlink"/>
                <w:rFonts w:ascii="Arial" w:hAnsi="Arial" w:cs="Arial"/>
                <w:noProof/>
                <w:sz w:val="24"/>
                <w:szCs w:val="24"/>
              </w:rPr>
              <w:t>Contents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_Toc239931483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4AF2AF5E"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84" w:history="1">
            <w:r w:rsidRPr="00DB5E69">
              <w:rPr>
                <w:rStyle w:val="Hyperlink"/>
                <w:rFonts w:ascii="Arial" w:hAnsi="Arial" w:cs="Arial"/>
                <w:noProof/>
                <w:sz w:val="24"/>
                <w:szCs w:val="24"/>
              </w:rPr>
              <w:t>1. Introduction and Aims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_Toc239931484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5B3E8E00"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85" w:history="1">
            <w:r w:rsidRPr="00DB5E69">
              <w:rPr>
                <w:rStyle w:val="Hyperlink"/>
                <w:rFonts w:ascii="Arial" w:hAnsi="Arial" w:cs="Arial"/>
                <w:noProof/>
                <w:sz w:val="24"/>
                <w:szCs w:val="24"/>
              </w:rPr>
              <w:t>2. Legal Framework</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_Toc239931485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09DA8293"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86" w:history="1">
            <w:r w:rsidRPr="00DB5E69">
              <w:rPr>
                <w:rStyle w:val="Hyperlink"/>
                <w:rFonts w:ascii="Arial" w:hAnsi="Arial" w:cs="Arial"/>
                <w:noProof/>
                <w:sz w:val="24"/>
                <w:szCs w:val="24"/>
              </w:rPr>
              <w:t>3. Definitions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_Toc239931486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1ECFFC73"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87" w:history="1">
            <w:r w:rsidRPr="00DB5E69">
              <w:rPr>
                <w:rStyle w:val="Hyperlink"/>
                <w:rFonts w:ascii="Arial" w:hAnsi="Arial" w:cs="Arial"/>
                <w:noProof/>
                <w:sz w:val="24"/>
                <w:szCs w:val="24"/>
              </w:rPr>
              <w:t>4. Roles and Responsibilities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_Toc239931487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2C14805A"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88" w:history="1">
            <w:r w:rsidRPr="00DB5E69">
              <w:rPr>
                <w:rStyle w:val="Hyperlink"/>
                <w:rFonts w:ascii="Arial" w:hAnsi="Arial" w:cs="Arial"/>
                <w:noProof/>
                <w:sz w:val="24"/>
                <w:szCs w:val="24"/>
              </w:rPr>
              <w:t>4.1 The Cavendish Education CEO and Board of Directors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_Toc239931488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298CB57E"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89" w:history="1">
            <w:r w:rsidRPr="00DB5E69">
              <w:rPr>
                <w:rStyle w:val="Hyperlink"/>
                <w:rFonts w:ascii="Arial" w:hAnsi="Arial" w:cs="Arial"/>
                <w:noProof/>
                <w:sz w:val="24"/>
                <w:szCs w:val="24"/>
              </w:rPr>
              <w:t>4.2 The Headteacher</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_Toc239931489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161B707A"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90" w:history="1">
            <w:r w:rsidRPr="00DB5E69">
              <w:rPr>
                <w:rStyle w:val="Hyperlink"/>
                <w:rFonts w:ascii="Arial" w:hAnsi="Arial" w:cs="Arial"/>
                <w:noProof/>
                <w:sz w:val="24"/>
                <w:szCs w:val="24"/>
              </w:rPr>
              <w:t>4.3 The Health and Safety Lead</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_Toc239931490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35B6B9A9"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91" w:history="1">
            <w:r w:rsidRPr="00DB5E69">
              <w:rPr>
                <w:rStyle w:val="Hyperlink"/>
                <w:rFonts w:ascii="Arial" w:hAnsi="Arial" w:cs="Arial"/>
                <w:noProof/>
                <w:sz w:val="24"/>
                <w:szCs w:val="24"/>
              </w:rPr>
              <w:t>4.4 Staff members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_Toc239931491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3DFD4ADB"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92" w:history="1">
            <w:r w:rsidRPr="00DB5E69">
              <w:rPr>
                <w:rStyle w:val="Hyperlink"/>
                <w:rFonts w:ascii="Arial" w:hAnsi="Arial" w:cs="Arial"/>
                <w:noProof/>
                <w:sz w:val="24"/>
                <w:szCs w:val="24"/>
              </w:rPr>
              <w:t>4.5 Pupils and parents/carers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_Toc239931492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392D91D2"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93" w:history="1">
            <w:r w:rsidRPr="00DB5E69">
              <w:rPr>
                <w:rStyle w:val="Hyperlink"/>
                <w:rFonts w:ascii="Arial" w:hAnsi="Arial" w:cs="Arial"/>
                <w:noProof/>
                <w:sz w:val="24"/>
                <w:szCs w:val="24"/>
              </w:rPr>
              <w:t>4.6 Contractors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_Toc239931493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243FEC19"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94" w:history="1">
            <w:r w:rsidRPr="00DB5E69">
              <w:rPr>
                <w:rStyle w:val="Hyperlink"/>
                <w:rFonts w:ascii="Arial" w:hAnsi="Arial" w:cs="Arial"/>
                <w:noProof/>
                <w:sz w:val="24"/>
                <w:szCs w:val="24"/>
              </w:rPr>
              <w:t>5. Areas of Risk</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_Toc239931494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43514782" w14:textId="77777777" w:rsidR="00DB5E69" w:rsidRPr="00DB5E69" w:rsidRDefault="00DB5E69" w:rsidP="00DB5E69">
          <w:pPr>
            <w:pStyle w:val="TOC2"/>
            <w:tabs>
              <w:tab w:val="right" w:leader="dot" w:pos="9736"/>
            </w:tabs>
            <w:spacing w:line="276" w:lineRule="auto"/>
            <w:rPr>
              <w:rFonts w:ascii="Arial" w:hAnsi="Arial" w:cs="Arial"/>
              <w:noProof/>
              <w:sz w:val="24"/>
              <w:szCs w:val="24"/>
            </w:rPr>
          </w:pPr>
          <w:hyperlink w:anchor="_Toc239931495" w:history="1">
            <w:r w:rsidRPr="00DB5E69">
              <w:rPr>
                <w:rStyle w:val="Hyperlink"/>
                <w:rFonts w:ascii="Arial" w:hAnsi="Arial" w:cs="Arial"/>
                <w:noProof/>
                <w:sz w:val="24"/>
                <w:szCs w:val="24"/>
              </w:rPr>
              <w:t>5.1 Alternative provision and outreach activities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_Toc239931495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20312A8F"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96" w:history="1">
            <w:r w:rsidRPr="00DB5E69">
              <w:rPr>
                <w:rStyle w:val="Hyperlink"/>
                <w:rFonts w:ascii="Arial" w:hAnsi="Arial" w:cs="Arial"/>
                <w:noProof/>
                <w:sz w:val="24"/>
                <w:szCs w:val="24"/>
              </w:rPr>
              <w:t>6. Risk Ratings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_Toc239931496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193A6BBF"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97" w:history="1">
            <w:r w:rsidRPr="00DB5E69">
              <w:rPr>
                <w:rStyle w:val="Hyperlink"/>
                <w:rFonts w:ascii="Arial" w:hAnsi="Arial" w:cs="Arial"/>
                <w:noProof/>
                <w:sz w:val="24"/>
                <w:szCs w:val="24"/>
              </w:rPr>
              <w:t>7. Principles of Effective Risk Management and Assessment</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_Toc239931497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71442FE9"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98" w:history="1">
            <w:r w:rsidRPr="00DB5E69">
              <w:rPr>
                <w:rStyle w:val="Hyperlink"/>
                <w:rFonts w:ascii="Arial" w:hAnsi="Arial" w:cs="Arial"/>
                <w:noProof/>
                <w:sz w:val="24"/>
                <w:szCs w:val="24"/>
              </w:rPr>
              <w:t>8. Hazard Identification</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_Toc239931498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5FEF0051"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499" w:history="1">
            <w:r w:rsidRPr="00DB5E69">
              <w:rPr>
                <w:rStyle w:val="Hyperlink"/>
                <w:rFonts w:ascii="Arial" w:hAnsi="Arial" w:cs="Arial"/>
                <w:noProof/>
                <w:sz w:val="24"/>
                <w:szCs w:val="24"/>
              </w:rPr>
              <w:t>9. Individuals at Risk of Harm</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_Toc239931499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6EEC1B3C"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0" w:history="1">
            <w:r w:rsidRPr="00DB5E69">
              <w:rPr>
                <w:rStyle w:val="Hyperlink"/>
                <w:rFonts w:ascii="Arial" w:hAnsi="Arial" w:cs="Arial"/>
                <w:noProof/>
                <w:sz w:val="24"/>
                <w:szCs w:val="24"/>
              </w:rPr>
              <w:t>10. Evaluating Risks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_Toc239931500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72DDB7A4"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1" w:history="1">
            <w:r w:rsidRPr="00DB5E69">
              <w:rPr>
                <w:rStyle w:val="Hyperlink"/>
                <w:rFonts w:ascii="Arial" w:hAnsi="Arial" w:cs="Arial"/>
                <w:noProof/>
                <w:sz w:val="24"/>
                <w:szCs w:val="24"/>
              </w:rPr>
              <w:t>11. Recording Findings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_Toc239931501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3EDB0FAE"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2" w:history="1">
            <w:r w:rsidRPr="00DB5E69">
              <w:rPr>
                <w:rStyle w:val="Hyperlink"/>
                <w:rFonts w:ascii="Arial" w:hAnsi="Arial" w:cs="Arial"/>
                <w:noProof/>
                <w:sz w:val="24"/>
                <w:szCs w:val="24"/>
              </w:rPr>
              <w:t>12. Reviewing</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_Toc239931502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74F55ED9"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3" w:history="1">
            <w:r w:rsidRPr="00DB5E69">
              <w:rPr>
                <w:rStyle w:val="Hyperlink"/>
                <w:rFonts w:ascii="Arial" w:hAnsi="Arial" w:cs="Arial"/>
                <w:noProof/>
                <w:sz w:val="24"/>
                <w:szCs w:val="24"/>
              </w:rPr>
              <w:t>13. Training</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_Toc239931503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0444A678"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4" w:history="1">
            <w:r w:rsidRPr="00DB5E69">
              <w:rPr>
                <w:rStyle w:val="Hyperlink"/>
                <w:rFonts w:ascii="Arial" w:hAnsi="Arial" w:cs="Arial"/>
                <w:noProof/>
                <w:sz w:val="24"/>
                <w:szCs w:val="24"/>
              </w:rPr>
              <w:t>14. Monitoring and Review</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_Toc239931504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58B2F1FB"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5" w:history="1">
            <w:r w:rsidRPr="00DB5E69">
              <w:rPr>
                <w:rStyle w:val="Hyperlink"/>
                <w:rFonts w:ascii="Arial" w:hAnsi="Arial" w:cs="Arial"/>
                <w:noProof/>
                <w:sz w:val="24"/>
                <w:szCs w:val="24"/>
              </w:rPr>
              <w:t>15. Links with Other Policies</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_Toc239931505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63FA0059" w14:textId="77777777" w:rsidR="00DB5E69" w:rsidRPr="00DB5E69" w:rsidRDefault="00DB5E69" w:rsidP="00DB5E69">
          <w:pPr>
            <w:pStyle w:val="TOC1"/>
            <w:tabs>
              <w:tab w:val="right" w:leader="dot" w:pos="9736"/>
            </w:tabs>
            <w:spacing w:line="276" w:lineRule="auto"/>
            <w:rPr>
              <w:rFonts w:ascii="Arial" w:hAnsi="Arial" w:cs="Arial"/>
              <w:noProof/>
              <w:sz w:val="24"/>
              <w:szCs w:val="24"/>
            </w:rPr>
          </w:pPr>
          <w:hyperlink w:anchor="_Toc239931506" w:history="1">
            <w:r w:rsidRPr="00DB5E69">
              <w:rPr>
                <w:rStyle w:val="Hyperlink"/>
                <w:rFonts w:ascii="Arial" w:hAnsi="Arial" w:cs="Arial"/>
                <w:noProof/>
                <w:sz w:val="24"/>
                <w:szCs w:val="24"/>
              </w:rPr>
              <w:t>Appendix A: Statutory Risk Assessments Checklist</w:t>
            </w:r>
            <w:r w:rsidRPr="00DB5E69">
              <w:rPr>
                <w:rFonts w:ascii="Arial" w:hAnsi="Arial" w:cs="Arial"/>
                <w:noProof/>
                <w:sz w:val="24"/>
                <w:szCs w:val="24"/>
              </w:rPr>
              <w:tab/>
            </w:r>
            <w:r w:rsidRPr="00DB5E69">
              <w:rPr>
                <w:rFonts w:ascii="Arial" w:hAnsi="Arial" w:cs="Arial"/>
                <w:noProof/>
                <w:sz w:val="24"/>
                <w:szCs w:val="24"/>
              </w:rPr>
              <w:fldChar w:fldCharType="begin"/>
            </w:r>
            <w:r w:rsidRPr="00DB5E69">
              <w:rPr>
                <w:rFonts w:ascii="Arial" w:hAnsi="Arial" w:cs="Arial"/>
                <w:noProof/>
                <w:sz w:val="24"/>
                <w:szCs w:val="24"/>
              </w:rPr>
              <w:instrText xml:space="preserve"> PAGEREF _Toc239931506 \h </w:instrText>
            </w:r>
            <w:r w:rsidRPr="00DB5E69">
              <w:rPr>
                <w:rFonts w:ascii="Arial" w:hAnsi="Arial" w:cs="Arial"/>
                <w:noProof/>
                <w:sz w:val="24"/>
                <w:szCs w:val="24"/>
              </w:rPr>
            </w:r>
            <w:r w:rsidRPr="00DB5E69">
              <w:rPr>
                <w:rFonts w:ascii="Arial" w:hAnsi="Arial" w:cs="Arial"/>
                <w:noProof/>
                <w:sz w:val="24"/>
                <w:szCs w:val="24"/>
              </w:rPr>
              <w:fldChar w:fldCharType="separate"/>
            </w:r>
            <w:r w:rsidRPr="00DB5E69">
              <w:rPr>
                <w:rFonts w:ascii="Arial" w:hAnsi="Arial" w:cs="Arial"/>
                <w:noProof/>
                <w:sz w:val="24"/>
                <w:szCs w:val="24"/>
              </w:rPr>
              <w:t>1</w:t>
            </w:r>
            <w:r w:rsidRPr="00DB5E69">
              <w:rPr>
                <w:rFonts w:ascii="Arial" w:hAnsi="Arial" w:cs="Arial"/>
                <w:noProof/>
                <w:sz w:val="24"/>
                <w:szCs w:val="24"/>
              </w:rPr>
              <w:fldChar w:fldCharType="end"/>
            </w:r>
          </w:hyperlink>
        </w:p>
        <w:p w14:paraId="08EC5231"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fldChar w:fldCharType="end"/>
          </w:r>
        </w:p>
      </w:sdtContent>
    </w:sdt>
    <w:p w14:paraId="6D19DEF1"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br w:type="page"/>
      </w:r>
    </w:p>
    <w:p w14:paraId="148AA5C9" w14:textId="77777777" w:rsidR="008863B3" w:rsidRPr="00DB5E69" w:rsidRDefault="00122C34" w:rsidP="00DB5E69">
      <w:pPr>
        <w:pStyle w:val="Heading1"/>
        <w:spacing w:before="300" w:after="150" w:line="276" w:lineRule="auto"/>
        <w:rPr>
          <w:rFonts w:ascii="Arial" w:hAnsi="Arial" w:cs="Arial"/>
          <w:sz w:val="24"/>
          <w:szCs w:val="24"/>
        </w:rPr>
      </w:pPr>
      <w:bookmarkStart w:id="2" w:name="_Toc239931484"/>
      <w:r w:rsidRPr="00DB5E69">
        <w:rPr>
          <w:rFonts w:ascii="Arial" w:hAnsi="Arial" w:cs="Arial"/>
          <w:sz w:val="24"/>
          <w:szCs w:val="24"/>
        </w:rPr>
        <w:lastRenderedPageBreak/>
        <w:t>1. Introduction and Aims</w:t>
      </w:r>
      <w:bookmarkEnd w:id="2"/>
    </w:p>
    <w:p w14:paraId="2606C89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At Dovecote School we are committed to providing a safe environment for all members of our school community. This policy sets out the procedures the school will follow to identify and manage risks to the health and safety of staff, students and visitors, including offsite activities such as outreach and alternative provision, which form a significant part of our specialist SEN offer.</w:t>
      </w:r>
    </w:p>
    <w:p w14:paraId="6D4A2803"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This policy aims to ensure that:</w:t>
      </w:r>
    </w:p>
    <w:p w14:paraId="50EDEF2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all risks that may cause injury or harm to staff, pupils and visitors are identified, and all reasonably practicable control measures are put in place to avoid injury or harm;</w:t>
      </w:r>
    </w:p>
    <w:p w14:paraId="52FC92F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risk assessments are conducted and reviewed regularly, and are proportionate to the activity and the needs of those involved;</w:t>
      </w:r>
    </w:p>
    <w:p w14:paraId="3E9E175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staff understand their role in identifying, reporting and managing risk as part of a whole-school approach to health and safety.</w:t>
      </w:r>
    </w:p>
    <w:p w14:paraId="51F2651B" w14:textId="77777777" w:rsidR="008863B3" w:rsidRPr="00DB5E69" w:rsidRDefault="00122C34" w:rsidP="00DB5E69">
      <w:pPr>
        <w:pStyle w:val="Heading1"/>
        <w:spacing w:before="300" w:after="150" w:line="276" w:lineRule="auto"/>
        <w:rPr>
          <w:rFonts w:ascii="Arial" w:hAnsi="Arial" w:cs="Arial"/>
          <w:sz w:val="24"/>
          <w:szCs w:val="24"/>
        </w:rPr>
      </w:pPr>
      <w:bookmarkStart w:id="3" w:name="_Toc239931485"/>
      <w:r w:rsidRPr="00DB5E69">
        <w:rPr>
          <w:rFonts w:ascii="Arial" w:hAnsi="Arial" w:cs="Arial"/>
          <w:sz w:val="24"/>
          <w:szCs w:val="24"/>
        </w:rPr>
        <w:t>2. Legal Framework</w:t>
      </w:r>
      <w:bookmarkEnd w:id="3"/>
    </w:p>
    <w:p w14:paraId="5B1DAA5A"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This policy has due regard to all relevant legislation and statutory guidance, including, but not limited to, the following:</w:t>
      </w:r>
    </w:p>
    <w:p w14:paraId="1C1D2DF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Health and Safety at Work etc. Act 1974</w:t>
      </w:r>
    </w:p>
    <w:p w14:paraId="26792C7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Regulations 3 and 16 of the Management of Health and Safety at Work Regulations 1999, which require employers to assess risks to the health and safety of their employees, including new and expectant mothers</w:t>
      </w:r>
    </w:p>
    <w:p w14:paraId="11AB422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Education Act 2002</w:t>
      </w:r>
    </w:p>
    <w:p w14:paraId="7216584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Paragraph 16 of Part 3 of the Education (Independent School Standards) Regulations 2014, which requires the proprietor to have a written risk assessment policy and to ensure risk assessment procedures are properly implemented</w:t>
      </w:r>
    </w:p>
    <w:p w14:paraId="5E45111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The Reporting of Injuries, Diseases and Dangerous Occurrences Regulations 2013 (RIDDOR)</w:t>
      </w:r>
    </w:p>
    <w:p w14:paraId="1AAD072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 4 of the Control of Asbestos Regulations 2012, which requires employers to carry out an asbestos risk assessment</w:t>
      </w:r>
    </w:p>
    <w:p w14:paraId="7AF849A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 6 of the Control of Substances Hazardous to Health Regulations 2002 (COSHH), which requires employers to assess the risk to workers from substances hazardous to health</w:t>
      </w:r>
    </w:p>
    <w:p w14:paraId="222F118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 2 of the Health and Safety (Display Screen Equipment) Regulations 1992, which requires employers to assess the health and safety risks that display screen equipment poses to staff</w:t>
      </w:r>
    </w:p>
    <w:p w14:paraId="02C0D50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 9 of the Regulatory Reform (Fire Safety) Order 2005, which requires fire risks to be assessed</w:t>
      </w:r>
    </w:p>
    <w:p w14:paraId="3AB9CEC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Regulation 4 of the Manual Handling Operations Regulations 1992, which requires employers to conduct a risk assessment for manual handling operations</w:t>
      </w:r>
    </w:p>
    <w:p w14:paraId="053E829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lastRenderedPageBreak/>
        <w:t>The Work at Height Regulations 2005, which require employers to conduct a risk assessment to identify the measures needed to ensure work at height is carried out safely</w:t>
      </w:r>
    </w:p>
    <w:p w14:paraId="4A247A40"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DfE guidance on first aid in schools, which requires schools to carry out a risk assessment to determine what first aid provision is needed</w:t>
      </w:r>
    </w:p>
    <w:p w14:paraId="7472C73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DfE guidance on the Prevent Duty, which states that schools are expected to assess the risk of pupils being drawn into terrorism</w:t>
      </w:r>
    </w:p>
    <w:p w14:paraId="725133E9"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DfE (2022) 'Health and safety: responsibilities and duties for schools'</w:t>
      </w:r>
    </w:p>
    <w:p w14:paraId="304174F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Health and Safety Executive (HSE) guidance, including for schools that manage a swimming pool</w:t>
      </w:r>
    </w:p>
    <w:p w14:paraId="5A321E2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 checklist of the statutory risk assessments Dovecote School is required to have in place is set out at Appendix A of this policy.</w:t>
      </w:r>
    </w:p>
    <w:p w14:paraId="4FBB648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This policy operates in conjunction with the following school policies and documents:</w:t>
      </w:r>
    </w:p>
    <w:p w14:paraId="630C8F3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Health and Safety Policy</w:t>
      </w:r>
    </w:p>
    <w:p w14:paraId="73E0358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Fire Safety Policy</w:t>
      </w:r>
    </w:p>
    <w:p w14:paraId="7B73885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First Aid Policy</w:t>
      </w:r>
    </w:p>
    <w:p w14:paraId="1A423FE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Educational Visits Policy</w:t>
      </w:r>
    </w:p>
    <w:p w14:paraId="7A9A7A13" w14:textId="77777777" w:rsidR="008863B3" w:rsidRPr="00DB5E69" w:rsidRDefault="00122C34" w:rsidP="00DB5E69">
      <w:pPr>
        <w:pStyle w:val="Heading1"/>
        <w:spacing w:before="300" w:after="150" w:line="276" w:lineRule="auto"/>
        <w:rPr>
          <w:rFonts w:ascii="Arial" w:hAnsi="Arial" w:cs="Arial"/>
          <w:sz w:val="24"/>
          <w:szCs w:val="24"/>
        </w:rPr>
      </w:pPr>
      <w:bookmarkStart w:id="4" w:name="_Toc239931486"/>
      <w:r w:rsidRPr="00DB5E69">
        <w:rPr>
          <w:rFonts w:ascii="Arial" w:hAnsi="Arial" w:cs="Arial"/>
          <w:sz w:val="24"/>
          <w:szCs w:val="24"/>
        </w:rPr>
        <w:t>3. Definitions</w:t>
      </w:r>
      <w:bookmarkEnd w:id="4"/>
    </w:p>
    <w:p w14:paraId="134A2018" w14:textId="77777777" w:rsidR="008863B3" w:rsidRPr="00DB5E69" w:rsidRDefault="00122C34" w:rsidP="00DB5E69">
      <w:pPr>
        <w:spacing w:after="160" w:line="276" w:lineRule="auto"/>
        <w:rPr>
          <w:rFonts w:ascii="Arial" w:hAnsi="Arial" w:cs="Arial"/>
          <w:sz w:val="24"/>
          <w:szCs w:val="24"/>
        </w:rPr>
      </w:pPr>
      <w:proofErr w:type="gramStart"/>
      <w:r w:rsidRPr="00DB5E69">
        <w:rPr>
          <w:rFonts w:ascii="Arial" w:hAnsi="Arial" w:cs="Arial"/>
          <w:sz w:val="24"/>
          <w:szCs w:val="24"/>
        </w:rPr>
        <w:t>For the purpose of</w:t>
      </w:r>
      <w:proofErr w:type="gramEnd"/>
      <w:r w:rsidRPr="00DB5E69">
        <w:rPr>
          <w:rFonts w:ascii="Arial" w:hAnsi="Arial" w:cs="Arial"/>
          <w:sz w:val="24"/>
          <w:szCs w:val="24"/>
        </w:rPr>
        <w:t xml:space="preserve"> this policy:</w:t>
      </w:r>
    </w:p>
    <w:p w14:paraId="1DBDEF7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Risk assessment </w:t>
      </w:r>
      <w:r w:rsidRPr="00DB5E69">
        <w:rPr>
          <w:rFonts w:ascii="Arial" w:hAnsi="Arial" w:cs="Arial"/>
          <w:sz w:val="24"/>
          <w:szCs w:val="24"/>
        </w:rPr>
        <w:t>is a careful examination of what, in the school, could cause harm to people, so that the school can determine whether the necessary precautions are in place or whether more should be done to prevent harm.</w:t>
      </w:r>
    </w:p>
    <w:p w14:paraId="1A99862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Hazard </w:t>
      </w:r>
      <w:r w:rsidRPr="00DB5E69">
        <w:rPr>
          <w:rFonts w:ascii="Arial" w:hAnsi="Arial" w:cs="Arial"/>
          <w:sz w:val="24"/>
          <w:szCs w:val="24"/>
        </w:rPr>
        <w:t>is anything that may cause harm, such as chemicals, electricity, working from ladders, or an open drawer.</w:t>
      </w:r>
    </w:p>
    <w:p w14:paraId="0EBC1D53"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Risk </w:t>
      </w:r>
      <w:r w:rsidRPr="00DB5E69">
        <w:rPr>
          <w:rFonts w:ascii="Arial" w:hAnsi="Arial" w:cs="Arial"/>
          <w:sz w:val="24"/>
          <w:szCs w:val="24"/>
        </w:rPr>
        <w:t>is the chance, low to high, that someone could be harmed by a hazard, together with an indication of how serious the harm could be.</w:t>
      </w:r>
    </w:p>
    <w:p w14:paraId="61BDB17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Control measure </w:t>
      </w:r>
      <w:r w:rsidRPr="00DB5E69">
        <w:rPr>
          <w:rFonts w:ascii="Arial" w:hAnsi="Arial" w:cs="Arial"/>
          <w:sz w:val="24"/>
          <w:szCs w:val="24"/>
        </w:rPr>
        <w:t>is the action taken to prevent people from being harmed by a hazard.</w:t>
      </w:r>
    </w:p>
    <w:p w14:paraId="454F45C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Dynamic risk assessment </w:t>
      </w:r>
      <w:r w:rsidRPr="00DB5E69">
        <w:rPr>
          <w:rFonts w:ascii="Arial" w:hAnsi="Arial" w:cs="Arial"/>
          <w:sz w:val="24"/>
          <w:szCs w:val="24"/>
        </w:rPr>
        <w:t xml:space="preserve">is an assessment that </w:t>
      </w:r>
      <w:proofErr w:type="gramStart"/>
      <w:r w:rsidRPr="00DB5E69">
        <w:rPr>
          <w:rFonts w:ascii="Arial" w:hAnsi="Arial" w:cs="Arial"/>
          <w:sz w:val="24"/>
          <w:szCs w:val="24"/>
        </w:rPr>
        <w:t>takes into account</w:t>
      </w:r>
      <w:proofErr w:type="gramEnd"/>
      <w:r w:rsidRPr="00DB5E69">
        <w:rPr>
          <w:rFonts w:ascii="Arial" w:hAnsi="Arial" w:cs="Arial"/>
          <w:sz w:val="24"/>
          <w:szCs w:val="24"/>
        </w:rPr>
        <w:t xml:space="preserve"> unexpected or short, temporary changes that require immediate amendments to be made to control measures.</w:t>
      </w:r>
    </w:p>
    <w:p w14:paraId="0D33D72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Generic risk assessment </w:t>
      </w:r>
      <w:r w:rsidRPr="00DB5E69">
        <w:rPr>
          <w:rFonts w:ascii="Arial" w:hAnsi="Arial" w:cs="Arial"/>
          <w:sz w:val="24"/>
          <w:szCs w:val="24"/>
        </w:rPr>
        <w:t xml:space="preserve">is an individual assessment covering the common, significant hazards that staff and others face </w:t>
      </w:r>
      <w:proofErr w:type="gramStart"/>
      <w:r w:rsidRPr="00DB5E69">
        <w:rPr>
          <w:rFonts w:ascii="Arial" w:hAnsi="Arial" w:cs="Arial"/>
          <w:sz w:val="24"/>
          <w:szCs w:val="24"/>
        </w:rPr>
        <w:t>on a daily basis</w:t>
      </w:r>
      <w:proofErr w:type="gramEnd"/>
      <w:r w:rsidRPr="00DB5E69">
        <w:rPr>
          <w:rFonts w:ascii="Arial" w:hAnsi="Arial" w:cs="Arial"/>
          <w:sz w:val="24"/>
          <w:szCs w:val="24"/>
        </w:rPr>
        <w:t>, such as low-risk or repeated activities that can be documented in another way.</w:t>
      </w:r>
    </w:p>
    <w:p w14:paraId="18D2BFE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b/>
          <w:bCs/>
          <w:sz w:val="24"/>
          <w:szCs w:val="24"/>
        </w:rPr>
        <w:t xml:space="preserve">Suitable and sufficient risk assessment </w:t>
      </w:r>
      <w:r w:rsidRPr="00DB5E69">
        <w:rPr>
          <w:rFonts w:ascii="Arial" w:hAnsi="Arial" w:cs="Arial"/>
          <w:sz w:val="24"/>
          <w:szCs w:val="24"/>
        </w:rPr>
        <w:t>is an assessment that is proportionate to the risk and ensures that all relevant hazards are addressed, complies with statutory requirements, ensures all groups who are affected are considered, takes account of existing control measures, and identifies further measures as necessary.</w:t>
      </w:r>
    </w:p>
    <w:p w14:paraId="6819B41F" w14:textId="77777777" w:rsidR="008863B3" w:rsidRPr="00DB5E69" w:rsidRDefault="00122C34" w:rsidP="00DB5E69">
      <w:pPr>
        <w:pStyle w:val="Heading1"/>
        <w:spacing w:before="300" w:after="150" w:line="276" w:lineRule="auto"/>
        <w:rPr>
          <w:rFonts w:ascii="Arial" w:hAnsi="Arial" w:cs="Arial"/>
          <w:sz w:val="24"/>
          <w:szCs w:val="24"/>
        </w:rPr>
      </w:pPr>
      <w:bookmarkStart w:id="5" w:name="_Toc239931487"/>
      <w:r w:rsidRPr="00DB5E69">
        <w:rPr>
          <w:rFonts w:ascii="Arial" w:hAnsi="Arial" w:cs="Arial"/>
          <w:sz w:val="24"/>
          <w:szCs w:val="24"/>
        </w:rPr>
        <w:lastRenderedPageBreak/>
        <w:t>4. Roles and Responsibilities</w:t>
      </w:r>
      <w:bookmarkEnd w:id="5"/>
    </w:p>
    <w:p w14:paraId="3D1FFEF9" w14:textId="77777777" w:rsidR="008863B3" w:rsidRPr="00DB5E69" w:rsidRDefault="00122C34" w:rsidP="00DB5E69">
      <w:pPr>
        <w:pStyle w:val="Heading2"/>
        <w:spacing w:line="276" w:lineRule="auto"/>
        <w:rPr>
          <w:rFonts w:ascii="Arial" w:hAnsi="Arial" w:cs="Arial"/>
        </w:rPr>
      </w:pPr>
      <w:bookmarkStart w:id="6" w:name="_Toc239931488"/>
      <w:r w:rsidRPr="00DB5E69">
        <w:rPr>
          <w:rFonts w:ascii="Arial" w:hAnsi="Arial" w:cs="Arial"/>
        </w:rPr>
        <w:t>4.1 The Cavendish Education CEO and Board of Directors</w:t>
      </w:r>
      <w:bookmarkEnd w:id="6"/>
    </w:p>
    <w:p w14:paraId="0F857E03"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Board has ultimate responsibility for health and safety matters across the school, delegating day-to-day operational responsibility to the Headteacher. The Board, as the employer, has a duty to:</w:t>
      </w:r>
    </w:p>
    <w:p w14:paraId="0F3FED9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take reasonable steps to ensure staff and pupils are not exposed to risks to their health and safety, whether on or off the school premises;</w:t>
      </w:r>
    </w:p>
    <w:p w14:paraId="228B868A"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assess the risks to staff and others affected by school activities, and identify and introduce the health and safety measures necessary to manage those risks;</w:t>
      </w:r>
    </w:p>
    <w:p w14:paraId="5DB52230"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inform employees about risks and the measures in place to manage them;</w:t>
      </w:r>
    </w:p>
    <w:p w14:paraId="08ED854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ensure relevant incidents and injuries are recorded and reported in line with RIDDOR.</w:t>
      </w:r>
    </w:p>
    <w:p w14:paraId="1B1E8F3F" w14:textId="77777777" w:rsidR="008863B3" w:rsidRPr="00DB5E69" w:rsidRDefault="00122C34" w:rsidP="00DB5E69">
      <w:pPr>
        <w:pStyle w:val="Heading2"/>
        <w:spacing w:line="276" w:lineRule="auto"/>
        <w:rPr>
          <w:rFonts w:ascii="Arial" w:hAnsi="Arial" w:cs="Arial"/>
        </w:rPr>
      </w:pPr>
      <w:bookmarkStart w:id="7" w:name="_Toc239931489"/>
      <w:r w:rsidRPr="00DB5E69">
        <w:rPr>
          <w:rFonts w:ascii="Arial" w:hAnsi="Arial" w:cs="Arial"/>
        </w:rPr>
        <w:t>4.2 The Headteacher</w:t>
      </w:r>
      <w:bookmarkEnd w:id="7"/>
    </w:p>
    <w:p w14:paraId="7E6A1BEE"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Headteacher is responsible for:</w:t>
      </w:r>
    </w:p>
    <w:p w14:paraId="47BE749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appointing a competent Health and Safety Lead to ensure the school meets its health and safety duties;</w:t>
      </w:r>
    </w:p>
    <w:p w14:paraId="708AC94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ensuring there is an effective approach to risk management in the school, and that all risk assessments are completed and reviewed;</w:t>
      </w:r>
    </w:p>
    <w:p w14:paraId="175954A9"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ensuring that anyone tasked with carrying out a risk assessment is suitably trained to do so;</w:t>
      </w:r>
    </w:p>
    <w:p w14:paraId="5911882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allocating resources in response to risk assessments, and determining a course of action where a risk cannot be suitably controlled so far as is reasonably practicable, including whether an activity can safely proceed;</w:t>
      </w:r>
    </w:p>
    <w:p w14:paraId="10A1E35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implementing frameworks for decision-making that take account of risk assessment principles, and appropriate mechanisms to communicate safe systems of work;</w:t>
      </w:r>
    </w:p>
    <w:p w14:paraId="2D9B54E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 xml:space="preserve">communicating elements of risk and health and safety management to the </w:t>
      </w:r>
      <w:proofErr w:type="gramStart"/>
      <w:r w:rsidRPr="00DB5E69">
        <w:rPr>
          <w:rFonts w:ascii="Arial" w:hAnsi="Arial" w:cs="Arial"/>
          <w:sz w:val="24"/>
          <w:szCs w:val="24"/>
        </w:rPr>
        <w:t>CEO, and</w:t>
      </w:r>
      <w:proofErr w:type="gramEnd"/>
      <w:r w:rsidRPr="00DB5E69">
        <w:rPr>
          <w:rFonts w:ascii="Arial" w:hAnsi="Arial" w:cs="Arial"/>
          <w:sz w:val="24"/>
          <w:szCs w:val="24"/>
        </w:rPr>
        <w:t xml:space="preserve"> recording any significant findings from risk assessments.</w:t>
      </w:r>
    </w:p>
    <w:p w14:paraId="3B14E2A8" w14:textId="77777777" w:rsidR="008863B3" w:rsidRPr="00DB5E69" w:rsidRDefault="00122C34" w:rsidP="00DB5E69">
      <w:pPr>
        <w:pStyle w:val="Heading2"/>
        <w:spacing w:line="276" w:lineRule="auto"/>
        <w:rPr>
          <w:rFonts w:ascii="Arial" w:hAnsi="Arial" w:cs="Arial"/>
        </w:rPr>
      </w:pPr>
      <w:bookmarkStart w:id="8" w:name="_Toc239931490"/>
      <w:r w:rsidRPr="00DB5E69">
        <w:rPr>
          <w:rFonts w:ascii="Arial" w:hAnsi="Arial" w:cs="Arial"/>
        </w:rPr>
        <w:t>4.3 The Health and Safety Lead</w:t>
      </w:r>
      <w:bookmarkEnd w:id="8"/>
    </w:p>
    <w:p w14:paraId="2B481E79"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Health and Safety Lead is responsible for developing and implementing an effective approach to risk management in the school, and for reporting to the Headteacher and CEO as required.</w:t>
      </w:r>
    </w:p>
    <w:p w14:paraId="08C5E0D3" w14:textId="77777777" w:rsidR="008863B3" w:rsidRPr="00DB5E69" w:rsidRDefault="00122C34" w:rsidP="00DB5E69">
      <w:pPr>
        <w:pStyle w:val="Heading2"/>
        <w:spacing w:line="276" w:lineRule="auto"/>
        <w:rPr>
          <w:rFonts w:ascii="Arial" w:hAnsi="Arial" w:cs="Arial"/>
        </w:rPr>
      </w:pPr>
      <w:bookmarkStart w:id="9" w:name="_Toc239931491"/>
      <w:r w:rsidRPr="00DB5E69">
        <w:rPr>
          <w:rFonts w:ascii="Arial" w:hAnsi="Arial" w:cs="Arial"/>
        </w:rPr>
        <w:t>4.4 Staff members</w:t>
      </w:r>
      <w:bookmarkEnd w:id="9"/>
    </w:p>
    <w:p w14:paraId="2A4EC277"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members are responsible for:</w:t>
      </w:r>
    </w:p>
    <w:p w14:paraId="2A87117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taking reasonable care of their own safety, as well as that of pupils, visitors and other staff;</w:t>
      </w:r>
    </w:p>
    <w:p w14:paraId="1AB5F1F3"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being aware of established risks and the measures the school has put in place to manage them, and undertaking their work in accordance with training and instructions;</w:t>
      </w:r>
    </w:p>
    <w:p w14:paraId="510FCA72"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lastRenderedPageBreak/>
        <w:t>cooperating with the school on health and safety matters, and carrying out assigned risk assessments effectively, ensuring all risks and suitable control measures are identified;</w:t>
      </w:r>
    </w:p>
    <w:p w14:paraId="65D6691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reporting any risks or defects to the Headteacher, to create new or update existing risk assessments, and participating in risk management training delivered by the school.</w:t>
      </w:r>
    </w:p>
    <w:p w14:paraId="6D8A1328" w14:textId="77777777" w:rsidR="008863B3" w:rsidRPr="00DB5E69" w:rsidRDefault="00122C34" w:rsidP="00DB5E69">
      <w:pPr>
        <w:pStyle w:val="Heading2"/>
        <w:spacing w:line="276" w:lineRule="auto"/>
        <w:rPr>
          <w:rFonts w:ascii="Arial" w:hAnsi="Arial" w:cs="Arial"/>
        </w:rPr>
      </w:pPr>
      <w:bookmarkStart w:id="10" w:name="_Toc239931492"/>
      <w:r w:rsidRPr="00DB5E69">
        <w:rPr>
          <w:rFonts w:ascii="Arial" w:hAnsi="Arial" w:cs="Arial"/>
        </w:rPr>
        <w:t>4.5 Pupils and parents/carers</w:t>
      </w:r>
      <w:bookmarkEnd w:id="10"/>
    </w:p>
    <w:p w14:paraId="650DDF23"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Pupils and parents/carers are responsible for following the school's advice in relation to risks, on-site and off-site, and for reporting any hazards to a member of staff.</w:t>
      </w:r>
    </w:p>
    <w:p w14:paraId="60363A6C" w14:textId="77777777" w:rsidR="008863B3" w:rsidRPr="00DB5E69" w:rsidRDefault="00122C34" w:rsidP="00DB5E69">
      <w:pPr>
        <w:pStyle w:val="Heading2"/>
        <w:spacing w:line="276" w:lineRule="auto"/>
        <w:rPr>
          <w:rFonts w:ascii="Arial" w:hAnsi="Arial" w:cs="Arial"/>
        </w:rPr>
      </w:pPr>
      <w:bookmarkStart w:id="11" w:name="_Toc239931493"/>
      <w:r w:rsidRPr="00DB5E69">
        <w:rPr>
          <w:rFonts w:ascii="Arial" w:hAnsi="Arial" w:cs="Arial"/>
        </w:rPr>
        <w:t>4.6 Contractors</w:t>
      </w:r>
      <w:bookmarkEnd w:id="11"/>
    </w:p>
    <w:p w14:paraId="1B6C32FA"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Contractors are expected to provide evidence that they have adequately risk-assessed all their planned work before it begins.</w:t>
      </w:r>
    </w:p>
    <w:p w14:paraId="20EC7052" w14:textId="77777777" w:rsidR="008863B3" w:rsidRPr="00DB5E69" w:rsidRDefault="00122C34" w:rsidP="00DB5E69">
      <w:pPr>
        <w:pStyle w:val="Heading1"/>
        <w:spacing w:before="300" w:after="150" w:line="276" w:lineRule="auto"/>
        <w:rPr>
          <w:rFonts w:ascii="Arial" w:hAnsi="Arial" w:cs="Arial"/>
          <w:sz w:val="24"/>
          <w:szCs w:val="24"/>
        </w:rPr>
      </w:pPr>
      <w:bookmarkStart w:id="12" w:name="_Toc239931494"/>
      <w:r w:rsidRPr="00DB5E69">
        <w:rPr>
          <w:rFonts w:ascii="Arial" w:hAnsi="Arial" w:cs="Arial"/>
          <w:sz w:val="24"/>
          <w:szCs w:val="24"/>
        </w:rPr>
        <w:t>5. Areas of Risk</w:t>
      </w:r>
      <w:bookmarkEnd w:id="12"/>
    </w:p>
    <w:p w14:paraId="299DC8EA"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identifies key areas that present risks to the school community. These include, but are not limited to:</w:t>
      </w:r>
    </w:p>
    <w:p w14:paraId="25318BA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Safeguarding</w:t>
      </w:r>
    </w:p>
    <w:p w14:paraId="78C76CEA"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Student welfare</w:t>
      </w:r>
    </w:p>
    <w:p w14:paraId="15AA58C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Health and safety</w:t>
      </w:r>
    </w:p>
    <w:p w14:paraId="431B8E73"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Security</w:t>
      </w:r>
    </w:p>
    <w:p w14:paraId="13349D4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Fire safety</w:t>
      </w:r>
    </w:p>
    <w:p w14:paraId="648396C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Critical incidents</w:t>
      </w:r>
    </w:p>
    <w:p w14:paraId="273BF0D0"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School trips</w:t>
      </w:r>
    </w:p>
    <w:p w14:paraId="41922EF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Lessons and activities</w:t>
      </w:r>
    </w:p>
    <w:p w14:paraId="20204D3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Special Educational Needs (SEN)</w:t>
      </w:r>
    </w:p>
    <w:p w14:paraId="123EF32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Social, Emotional and Mental Health (SEMH)</w:t>
      </w:r>
    </w:p>
    <w:p w14:paraId="1402CD2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 xml:space="preserve">Autistic Spectrum Condition (ASC) students with </w:t>
      </w:r>
      <w:proofErr w:type="gramStart"/>
      <w:r w:rsidRPr="00DB5E69">
        <w:rPr>
          <w:rFonts w:ascii="Arial" w:hAnsi="Arial" w:cs="Arial"/>
          <w:sz w:val="24"/>
          <w:szCs w:val="24"/>
        </w:rPr>
        <w:t>particular needs</w:t>
      </w:r>
      <w:proofErr w:type="gramEnd"/>
    </w:p>
    <w:p w14:paraId="4A85FF0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Staff recruitment</w:t>
      </w:r>
    </w:p>
    <w:p w14:paraId="11968F69"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Specific risk assessments are also conducted by industry professionals with relevant qualifications and knowledge, under the following categories: asbestos; Legionella; gas safety; electrical safety; and fire safety.</w:t>
      </w:r>
    </w:p>
    <w:p w14:paraId="58086205" w14:textId="77777777" w:rsidR="008863B3" w:rsidRPr="00DB5E69" w:rsidRDefault="00122C34" w:rsidP="00DB5E69">
      <w:pPr>
        <w:pStyle w:val="Heading2"/>
        <w:spacing w:line="276" w:lineRule="auto"/>
        <w:rPr>
          <w:rFonts w:ascii="Arial" w:hAnsi="Arial" w:cs="Arial"/>
        </w:rPr>
      </w:pPr>
      <w:bookmarkStart w:id="13" w:name="_Toc239931495"/>
      <w:r w:rsidRPr="00DB5E69">
        <w:rPr>
          <w:rFonts w:ascii="Arial" w:hAnsi="Arial" w:cs="Arial"/>
        </w:rPr>
        <w:t>5.1 Alternative provision and outreach activities</w:t>
      </w:r>
      <w:bookmarkEnd w:id="13"/>
    </w:p>
    <w:p w14:paraId="54A5407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Given Dovecote School's role as a specialist SEN provider, risk assessments must be completed for all activities scheduled with alternative provisions, which may include, but are not limited to, horse-riding, swimming, mechanics, and visits to theme parks or museums.</w:t>
      </w:r>
    </w:p>
    <w:p w14:paraId="62A70F96"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 xml:space="preserve">School risk assessments must be completed for all trips off site, and these must be accompanied by a risk assessment from the company providing the organised activity. Where a site risk assessment is not in place, staff must endeavour to complete a risk </w:t>
      </w:r>
      <w:r w:rsidRPr="00DB5E69">
        <w:rPr>
          <w:rFonts w:ascii="Arial" w:hAnsi="Arial" w:cs="Arial"/>
          <w:sz w:val="24"/>
          <w:szCs w:val="24"/>
        </w:rPr>
        <w:lastRenderedPageBreak/>
        <w:t>assessment with as much information as possible relating to the location and nature of the activity, which may mean contacting the venue in advance to request relevant information.</w:t>
      </w:r>
    </w:p>
    <w:p w14:paraId="3E0DDF15" w14:textId="77777777" w:rsidR="008863B3" w:rsidRPr="00DB5E69" w:rsidRDefault="00122C34" w:rsidP="00DB5E69">
      <w:pPr>
        <w:pStyle w:val="Heading1"/>
        <w:spacing w:before="300" w:after="150" w:line="276" w:lineRule="auto"/>
        <w:rPr>
          <w:rFonts w:ascii="Arial" w:hAnsi="Arial" w:cs="Arial"/>
          <w:sz w:val="24"/>
          <w:szCs w:val="24"/>
        </w:rPr>
      </w:pPr>
      <w:bookmarkStart w:id="14" w:name="_Toc239931496"/>
      <w:r w:rsidRPr="00DB5E69">
        <w:rPr>
          <w:rFonts w:ascii="Arial" w:hAnsi="Arial" w:cs="Arial"/>
          <w:sz w:val="24"/>
          <w:szCs w:val="24"/>
        </w:rPr>
        <w:t>6. Risk Ratings</w:t>
      </w:r>
      <w:bookmarkEnd w:id="14"/>
    </w:p>
    <w:p w14:paraId="3534108E"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adopts the following risk ratings to determine the impact and severity of different hazards: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9"/>
        <w:gridCol w:w="1806"/>
        <w:gridCol w:w="1807"/>
        <w:gridCol w:w="1807"/>
        <w:gridCol w:w="1807"/>
      </w:tblGrid>
      <w:tr w:rsidR="008863B3" w:rsidRPr="00DB5E69" w14:paraId="6B7DE300" w14:textId="77777777">
        <w:tblPrEx>
          <w:tblCellMar>
            <w:top w:w="0" w:type="dxa"/>
            <w:bottom w:w="0" w:type="dxa"/>
          </w:tblCellMar>
        </w:tblPrEx>
        <w:tc>
          <w:tcPr>
            <w:tcW w:w="0" w:type="auto"/>
            <w:shd w:val="clear" w:color="auto" w:fill="1F3864"/>
          </w:tcPr>
          <w:p w14:paraId="296BEEF4"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Likelihood \ Impact</w:t>
            </w:r>
          </w:p>
        </w:tc>
        <w:tc>
          <w:tcPr>
            <w:tcW w:w="0" w:type="auto"/>
            <w:shd w:val="clear" w:color="auto" w:fill="1F3864"/>
          </w:tcPr>
          <w:p w14:paraId="2CBAD88A"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1 – Minor</w:t>
            </w:r>
          </w:p>
        </w:tc>
        <w:tc>
          <w:tcPr>
            <w:tcW w:w="0" w:type="auto"/>
            <w:shd w:val="clear" w:color="auto" w:fill="1F3864"/>
          </w:tcPr>
          <w:p w14:paraId="1711EE11"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2 – Moderate</w:t>
            </w:r>
          </w:p>
        </w:tc>
        <w:tc>
          <w:tcPr>
            <w:tcW w:w="0" w:type="auto"/>
            <w:shd w:val="clear" w:color="auto" w:fill="1F3864"/>
          </w:tcPr>
          <w:p w14:paraId="25E6C40A"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3 – Major</w:t>
            </w:r>
          </w:p>
        </w:tc>
        <w:tc>
          <w:tcPr>
            <w:tcW w:w="0" w:type="auto"/>
            <w:shd w:val="clear" w:color="auto" w:fill="1F3864"/>
          </w:tcPr>
          <w:p w14:paraId="20FB8083"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4 – Catastrophic</w:t>
            </w:r>
          </w:p>
        </w:tc>
      </w:tr>
      <w:tr w:rsidR="008863B3" w:rsidRPr="00DB5E69" w14:paraId="132343A3" w14:textId="77777777">
        <w:tblPrEx>
          <w:tblCellMar>
            <w:top w:w="0" w:type="dxa"/>
            <w:bottom w:w="0" w:type="dxa"/>
          </w:tblCellMar>
        </w:tblPrEx>
        <w:tc>
          <w:tcPr>
            <w:tcW w:w="1250" w:type="pct"/>
          </w:tcPr>
          <w:p w14:paraId="577A66CB"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1 – Unlikely</w:t>
            </w:r>
          </w:p>
        </w:tc>
        <w:tc>
          <w:tcPr>
            <w:tcW w:w="900" w:type="pct"/>
          </w:tcPr>
          <w:p w14:paraId="0DC653E3"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2</w:t>
            </w:r>
          </w:p>
        </w:tc>
        <w:tc>
          <w:tcPr>
            <w:tcW w:w="900" w:type="pct"/>
          </w:tcPr>
          <w:p w14:paraId="0C8CF2A6"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3</w:t>
            </w:r>
          </w:p>
        </w:tc>
        <w:tc>
          <w:tcPr>
            <w:tcW w:w="900" w:type="pct"/>
          </w:tcPr>
          <w:p w14:paraId="16459336"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4</w:t>
            </w:r>
          </w:p>
        </w:tc>
        <w:tc>
          <w:tcPr>
            <w:tcW w:w="900" w:type="pct"/>
          </w:tcPr>
          <w:p w14:paraId="062D4E58"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5</w:t>
            </w:r>
          </w:p>
        </w:tc>
      </w:tr>
      <w:tr w:rsidR="008863B3" w:rsidRPr="00DB5E69" w14:paraId="3C305963" w14:textId="77777777">
        <w:tblPrEx>
          <w:tblCellMar>
            <w:top w:w="0" w:type="dxa"/>
            <w:bottom w:w="0" w:type="dxa"/>
          </w:tblCellMar>
        </w:tblPrEx>
        <w:tc>
          <w:tcPr>
            <w:tcW w:w="1250" w:type="pct"/>
          </w:tcPr>
          <w:p w14:paraId="4AE68A7F"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2 – Rare</w:t>
            </w:r>
          </w:p>
        </w:tc>
        <w:tc>
          <w:tcPr>
            <w:tcW w:w="900" w:type="pct"/>
          </w:tcPr>
          <w:p w14:paraId="095C1284"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3</w:t>
            </w:r>
          </w:p>
        </w:tc>
        <w:tc>
          <w:tcPr>
            <w:tcW w:w="900" w:type="pct"/>
          </w:tcPr>
          <w:p w14:paraId="2C3F0668"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4</w:t>
            </w:r>
          </w:p>
        </w:tc>
        <w:tc>
          <w:tcPr>
            <w:tcW w:w="900" w:type="pct"/>
          </w:tcPr>
          <w:p w14:paraId="08E57CF5"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5</w:t>
            </w:r>
          </w:p>
        </w:tc>
        <w:tc>
          <w:tcPr>
            <w:tcW w:w="900" w:type="pct"/>
          </w:tcPr>
          <w:p w14:paraId="66F766D1"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6</w:t>
            </w:r>
          </w:p>
        </w:tc>
      </w:tr>
      <w:tr w:rsidR="008863B3" w:rsidRPr="00DB5E69" w14:paraId="52838D70" w14:textId="77777777">
        <w:tblPrEx>
          <w:tblCellMar>
            <w:top w:w="0" w:type="dxa"/>
            <w:bottom w:w="0" w:type="dxa"/>
          </w:tblCellMar>
        </w:tblPrEx>
        <w:tc>
          <w:tcPr>
            <w:tcW w:w="1250" w:type="pct"/>
          </w:tcPr>
          <w:p w14:paraId="25E1EF4D"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3 – Possible</w:t>
            </w:r>
          </w:p>
        </w:tc>
        <w:tc>
          <w:tcPr>
            <w:tcW w:w="900" w:type="pct"/>
          </w:tcPr>
          <w:p w14:paraId="67A6299F"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4</w:t>
            </w:r>
          </w:p>
        </w:tc>
        <w:tc>
          <w:tcPr>
            <w:tcW w:w="900" w:type="pct"/>
          </w:tcPr>
          <w:p w14:paraId="6C97B1FE"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5</w:t>
            </w:r>
          </w:p>
        </w:tc>
        <w:tc>
          <w:tcPr>
            <w:tcW w:w="900" w:type="pct"/>
          </w:tcPr>
          <w:p w14:paraId="1294596F"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6</w:t>
            </w:r>
          </w:p>
        </w:tc>
        <w:tc>
          <w:tcPr>
            <w:tcW w:w="900" w:type="pct"/>
          </w:tcPr>
          <w:p w14:paraId="6037AA0D"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7</w:t>
            </w:r>
          </w:p>
        </w:tc>
      </w:tr>
      <w:tr w:rsidR="008863B3" w:rsidRPr="00DB5E69" w14:paraId="27601BE2" w14:textId="77777777">
        <w:tblPrEx>
          <w:tblCellMar>
            <w:top w:w="0" w:type="dxa"/>
            <w:bottom w:w="0" w:type="dxa"/>
          </w:tblCellMar>
        </w:tblPrEx>
        <w:tc>
          <w:tcPr>
            <w:tcW w:w="1250" w:type="pct"/>
          </w:tcPr>
          <w:p w14:paraId="1BD5DDED"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4 – Likely</w:t>
            </w:r>
          </w:p>
        </w:tc>
        <w:tc>
          <w:tcPr>
            <w:tcW w:w="900" w:type="pct"/>
          </w:tcPr>
          <w:p w14:paraId="76AF9793"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5</w:t>
            </w:r>
          </w:p>
        </w:tc>
        <w:tc>
          <w:tcPr>
            <w:tcW w:w="900" w:type="pct"/>
          </w:tcPr>
          <w:p w14:paraId="4956D15F"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6</w:t>
            </w:r>
          </w:p>
        </w:tc>
        <w:tc>
          <w:tcPr>
            <w:tcW w:w="900" w:type="pct"/>
          </w:tcPr>
          <w:p w14:paraId="22AB03CD"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7</w:t>
            </w:r>
          </w:p>
        </w:tc>
        <w:tc>
          <w:tcPr>
            <w:tcW w:w="900" w:type="pct"/>
          </w:tcPr>
          <w:p w14:paraId="15BDA498" w14:textId="77777777" w:rsidR="008863B3" w:rsidRPr="00DB5E69" w:rsidRDefault="00122C34" w:rsidP="00DB5E69">
            <w:pPr>
              <w:spacing w:line="276" w:lineRule="auto"/>
              <w:jc w:val="center"/>
              <w:rPr>
                <w:rFonts w:ascii="Arial" w:hAnsi="Arial" w:cs="Arial"/>
                <w:sz w:val="24"/>
                <w:szCs w:val="24"/>
              </w:rPr>
            </w:pPr>
            <w:r w:rsidRPr="00DB5E69">
              <w:rPr>
                <w:rFonts w:ascii="Arial" w:hAnsi="Arial" w:cs="Arial"/>
                <w:sz w:val="24"/>
                <w:szCs w:val="24"/>
              </w:rPr>
              <w:t>8</w:t>
            </w:r>
          </w:p>
        </w:tc>
      </w:tr>
    </w:tbl>
    <w:p w14:paraId="2D1A7D93" w14:textId="77777777" w:rsidR="008863B3" w:rsidRPr="00DB5E69" w:rsidRDefault="008863B3" w:rsidP="00DB5E69">
      <w:pPr>
        <w:spacing w:after="160" w:line="276" w:lineRule="auto"/>
        <w:rPr>
          <w:rFonts w:ascii="Arial" w:hAnsi="Arial" w:cs="Arial"/>
          <w:sz w:val="24"/>
          <w:szCs w:val="24"/>
        </w:rPr>
      </w:pPr>
    </w:p>
    <w:p w14:paraId="6C504D63"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has identified the following risk actions depending on the determined risk rating: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3"/>
        <w:gridCol w:w="7573"/>
      </w:tblGrid>
      <w:tr w:rsidR="008863B3" w:rsidRPr="00DB5E69" w14:paraId="515E4754" w14:textId="77777777">
        <w:tblPrEx>
          <w:tblCellMar>
            <w:top w:w="0" w:type="dxa"/>
            <w:bottom w:w="0" w:type="dxa"/>
          </w:tblCellMar>
        </w:tblPrEx>
        <w:tc>
          <w:tcPr>
            <w:tcW w:w="0" w:type="auto"/>
            <w:shd w:val="clear" w:color="auto" w:fill="1F3864"/>
          </w:tcPr>
          <w:p w14:paraId="5FB5B8C3"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Degree of risk</w:t>
            </w:r>
          </w:p>
        </w:tc>
        <w:tc>
          <w:tcPr>
            <w:tcW w:w="0" w:type="auto"/>
            <w:shd w:val="clear" w:color="auto" w:fill="1F3864"/>
          </w:tcPr>
          <w:p w14:paraId="597DFCF6"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Risk treatment</w:t>
            </w:r>
          </w:p>
        </w:tc>
      </w:tr>
      <w:tr w:rsidR="008863B3" w:rsidRPr="00DB5E69" w14:paraId="279A2ECA" w14:textId="77777777">
        <w:tblPrEx>
          <w:tblCellMar>
            <w:top w:w="0" w:type="dxa"/>
            <w:bottom w:w="0" w:type="dxa"/>
          </w:tblCellMar>
        </w:tblPrEx>
        <w:tc>
          <w:tcPr>
            <w:tcW w:w="1000" w:type="pct"/>
          </w:tcPr>
          <w:p w14:paraId="28E332D1"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Low</w:t>
            </w:r>
          </w:p>
        </w:tc>
        <w:tc>
          <w:tcPr>
            <w:tcW w:w="3500" w:type="pct"/>
          </w:tcPr>
          <w:p w14:paraId="2F21327A"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Acceptable level of risk. Risks should be monitored and reassessed at appropriate intervals. No further action or additional controls should be necessary.</w:t>
            </w:r>
          </w:p>
        </w:tc>
      </w:tr>
      <w:tr w:rsidR="008863B3" w:rsidRPr="00DB5E69" w14:paraId="4CA0F0EB" w14:textId="77777777">
        <w:tblPrEx>
          <w:tblCellMar>
            <w:top w:w="0" w:type="dxa"/>
            <w:bottom w:w="0" w:type="dxa"/>
          </w:tblCellMar>
        </w:tblPrEx>
        <w:tc>
          <w:tcPr>
            <w:tcW w:w="1000" w:type="pct"/>
          </w:tcPr>
          <w:p w14:paraId="6101C543"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Moderate</w:t>
            </w:r>
          </w:p>
        </w:tc>
        <w:tc>
          <w:tcPr>
            <w:tcW w:w="3500" w:type="pct"/>
          </w:tcPr>
          <w:p w14:paraId="1BF978EE"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Unacceptable level of risk. Efforts should be made to reduce risk, and the likelihood of harm established more precisely as a basis for determining the need for improved control measures. Resources may need to be allocated to reduce the risk, and where the risk involves work in progress, immediate action should be taken.</w:t>
            </w:r>
          </w:p>
        </w:tc>
      </w:tr>
      <w:tr w:rsidR="008863B3" w:rsidRPr="00DB5E69" w14:paraId="2D4C8BB4" w14:textId="77777777">
        <w:tblPrEx>
          <w:tblCellMar>
            <w:top w:w="0" w:type="dxa"/>
            <w:bottom w:w="0" w:type="dxa"/>
          </w:tblCellMar>
        </w:tblPrEx>
        <w:tc>
          <w:tcPr>
            <w:tcW w:w="1000" w:type="pct"/>
          </w:tcPr>
          <w:p w14:paraId="55473286"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sz w:val="24"/>
                <w:szCs w:val="24"/>
              </w:rPr>
              <w:t>High</w:t>
            </w:r>
          </w:p>
        </w:tc>
        <w:tc>
          <w:tcPr>
            <w:tcW w:w="3500" w:type="pct"/>
          </w:tcPr>
          <w:p w14:paraId="276A1FA4"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Unacceptable level of risk. Immediate action must be taken to manage the risk. Control measures must be put in place which significantly reduce the impact of the event or the likelihood of it occurring, and resources will need to be allocated to reduce the risk.</w:t>
            </w:r>
          </w:p>
        </w:tc>
      </w:tr>
    </w:tbl>
    <w:p w14:paraId="6C9849E9" w14:textId="77777777" w:rsidR="008863B3" w:rsidRPr="00DB5E69" w:rsidRDefault="008863B3" w:rsidP="00DB5E69">
      <w:pPr>
        <w:spacing w:after="160" w:line="276" w:lineRule="auto"/>
        <w:rPr>
          <w:rFonts w:ascii="Arial" w:hAnsi="Arial" w:cs="Arial"/>
          <w:sz w:val="24"/>
          <w:szCs w:val="24"/>
        </w:rPr>
      </w:pPr>
    </w:p>
    <w:p w14:paraId="29586176"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When completing risk assessments, staff will grade impact and likelihood using the scales above and respond appropriately in line with the resulting rating.</w:t>
      </w:r>
    </w:p>
    <w:p w14:paraId="3E9FC269" w14:textId="77777777" w:rsidR="008863B3" w:rsidRPr="00DB5E69" w:rsidRDefault="00122C34" w:rsidP="00DB5E69">
      <w:pPr>
        <w:pStyle w:val="Heading1"/>
        <w:spacing w:before="300" w:after="150" w:line="276" w:lineRule="auto"/>
        <w:rPr>
          <w:rFonts w:ascii="Arial" w:hAnsi="Arial" w:cs="Arial"/>
          <w:sz w:val="24"/>
          <w:szCs w:val="24"/>
        </w:rPr>
      </w:pPr>
      <w:bookmarkStart w:id="15" w:name="_Toc239931497"/>
      <w:r w:rsidRPr="00DB5E69">
        <w:rPr>
          <w:rFonts w:ascii="Arial" w:hAnsi="Arial" w:cs="Arial"/>
          <w:sz w:val="24"/>
          <w:szCs w:val="24"/>
        </w:rPr>
        <w:t>7. Principles of Effective Risk Management and Assessment</w:t>
      </w:r>
      <w:bookmarkEnd w:id="15"/>
    </w:p>
    <w:p w14:paraId="11F2081F"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follows the following key principles of risk prevention:</w:t>
      </w:r>
    </w:p>
    <w:p w14:paraId="0D2E35C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if possible, avoid a risk altogether, and avoid introducing new hazards;</w:t>
      </w:r>
    </w:p>
    <w:p w14:paraId="40D2B73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evaluate unavoidable risks via a risk assessment, and combat risks at the source;</w:t>
      </w:r>
    </w:p>
    <w:p w14:paraId="6ECB863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consult with those affected to adapt work to the requirements of the individuals involved, and consult with the Health and Safety Lead;</w:t>
      </w:r>
    </w:p>
    <w:p w14:paraId="10E969B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take advantage of technological and technical progress where appropriate;</w:t>
      </w:r>
    </w:p>
    <w:p w14:paraId="6588604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implement risk prevention measures within policies, giving priority to protection measures that safeguard the whole school;</w:t>
      </w:r>
    </w:p>
    <w:p w14:paraId="3BE2476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lastRenderedPageBreak/>
        <w:t xml:space="preserve">ensure staff and students understand what they must do to minimise </w:t>
      </w:r>
      <w:proofErr w:type="gramStart"/>
      <w:r w:rsidRPr="00DB5E69">
        <w:rPr>
          <w:rFonts w:ascii="Arial" w:hAnsi="Arial" w:cs="Arial"/>
          <w:sz w:val="24"/>
          <w:szCs w:val="24"/>
        </w:rPr>
        <w:t>risk, and</w:t>
      </w:r>
      <w:proofErr w:type="gramEnd"/>
      <w:r w:rsidRPr="00DB5E69">
        <w:rPr>
          <w:rFonts w:ascii="Arial" w:hAnsi="Arial" w:cs="Arial"/>
          <w:sz w:val="24"/>
          <w:szCs w:val="24"/>
        </w:rPr>
        <w:t xml:space="preserve"> develop a positive approach to health and safety within the school.</w:t>
      </w:r>
    </w:p>
    <w:p w14:paraId="72D927EE"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school uses a five-stage process to undertake a risk assessment:</w:t>
      </w:r>
    </w:p>
    <w:p w14:paraId="0FDDD18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Identify the hazards</w:t>
      </w:r>
    </w:p>
    <w:p w14:paraId="4BBC938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Decide who might be harmed and how</w:t>
      </w:r>
    </w:p>
    <w:p w14:paraId="1C75115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Evaluate the risks and decide on control measures</w:t>
      </w:r>
    </w:p>
    <w:p w14:paraId="5227FCC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Record the findings</w:t>
      </w:r>
    </w:p>
    <w:p w14:paraId="6318DF31"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Review</w:t>
      </w:r>
    </w:p>
    <w:p w14:paraId="4C373B8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Hazards that are already covered under other risk assessments are ticked as 'checked' in the general risk assessment, and a separate risk assessment need not be conducted unless the risk changes.</w:t>
      </w:r>
    </w:p>
    <w:p w14:paraId="7DF3BD59" w14:textId="77777777" w:rsidR="008863B3" w:rsidRPr="00DB5E69" w:rsidRDefault="00122C34" w:rsidP="00DB5E69">
      <w:pPr>
        <w:pStyle w:val="Heading1"/>
        <w:spacing w:before="300" w:after="150" w:line="276" w:lineRule="auto"/>
        <w:rPr>
          <w:rFonts w:ascii="Arial" w:hAnsi="Arial" w:cs="Arial"/>
          <w:sz w:val="24"/>
          <w:szCs w:val="24"/>
        </w:rPr>
      </w:pPr>
      <w:bookmarkStart w:id="16" w:name="_Toc239931498"/>
      <w:r w:rsidRPr="00DB5E69">
        <w:rPr>
          <w:rFonts w:ascii="Arial" w:hAnsi="Arial" w:cs="Arial"/>
          <w:sz w:val="24"/>
          <w:szCs w:val="24"/>
        </w:rPr>
        <w:t>8. Hazard Identification</w:t>
      </w:r>
      <w:bookmarkEnd w:id="16"/>
    </w:p>
    <w:p w14:paraId="0AB40396"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When identifying hazards, staff members will:</w:t>
      </w:r>
    </w:p>
    <w:p w14:paraId="36FA3589"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consider what could reasonably be expected to cause harm — this could include anything related to the school premises or the delivery of its curriculum, whether on- or off-site;</w:t>
      </w:r>
    </w:p>
    <w:p w14:paraId="37E48A6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consider potential risks from the perspective of other staff, visitors and students, including consulting these groups where necessary;</w:t>
      </w:r>
    </w:p>
    <w:p w14:paraId="559E961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give priority focus to significant hazards that could result in serious harm or affect several people.</w:t>
      </w:r>
    </w:p>
    <w:p w14:paraId="3FF1CAAD"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To identify hazards, staff will have regard to factors including, but not limited to:</w:t>
      </w:r>
    </w:p>
    <w:p w14:paraId="39F9172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the environment, e.g. poor lighting or low/high temperature;</w:t>
      </w:r>
    </w:p>
    <w:p w14:paraId="23FA17E0"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slipping and tripping hazards, e.g. poorly maintained floors or stairs;</w:t>
      </w:r>
    </w:p>
    <w:p w14:paraId="4C72A4A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fire, e.g. from flammable materials;</w:t>
      </w:r>
    </w:p>
    <w:p w14:paraId="6523379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chemicals and how they are used, and in what quantities, e.g. cleaning chemicals;</w:t>
      </w:r>
    </w:p>
    <w:p w14:paraId="13187A0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moving parts of machinery, e.g. within faculty workshops;</w:t>
      </w:r>
    </w:p>
    <w:p w14:paraId="2D0EB7D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on-site vehicle movements;</w:t>
      </w:r>
    </w:p>
    <w:p w14:paraId="28AF5D4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asbestos on school premises, and the selection and management of contractors;</w:t>
      </w:r>
    </w:p>
    <w:p w14:paraId="6A9AC3D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work at height, e.g. scaffolding around buildings;</w:t>
      </w:r>
    </w:p>
    <w:p w14:paraId="4E57CE6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ejection of materials, e.g. in workshops and experiments;</w:t>
      </w:r>
    </w:p>
    <w:p w14:paraId="1996CB5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pressure systems, e.g. within laboratories;</w:t>
      </w:r>
    </w:p>
    <w:p w14:paraId="4904AF9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electricity, e.g. poor wiring, portable appliances, electrical experiments;</w:t>
      </w:r>
    </w:p>
    <w:p w14:paraId="53D0F08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dust and fumes, e.g. metal grinding, cement, welding and chemicals;</w:t>
      </w:r>
    </w:p>
    <w:p w14:paraId="11A909A6"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manual handling and noise;</w:t>
      </w:r>
    </w:p>
    <w:p w14:paraId="1CE3D02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building design and maintenance;</w:t>
      </w:r>
    </w:p>
    <w:p w14:paraId="6AB5B133"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biological hazards, e.g. gardening or contact with bodily fluids;</w:t>
      </w:r>
    </w:p>
    <w:p w14:paraId="575BD87A"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management of work-related stress;</w:t>
      </w:r>
    </w:p>
    <w:p w14:paraId="798CB02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lastRenderedPageBreak/>
        <w:t>behaviour management, e.g. kicking, hitting and verbal abuse.</w:t>
      </w:r>
    </w:p>
    <w:p w14:paraId="2550028C" w14:textId="77777777" w:rsidR="008863B3" w:rsidRPr="00DB5E69" w:rsidRDefault="00122C34" w:rsidP="00DB5E69">
      <w:pPr>
        <w:pStyle w:val="Heading1"/>
        <w:spacing w:before="300" w:after="150" w:line="276" w:lineRule="auto"/>
        <w:rPr>
          <w:rFonts w:ascii="Arial" w:hAnsi="Arial" w:cs="Arial"/>
          <w:sz w:val="24"/>
          <w:szCs w:val="24"/>
        </w:rPr>
      </w:pPr>
      <w:bookmarkStart w:id="17" w:name="_Toc239931499"/>
      <w:r w:rsidRPr="00DB5E69">
        <w:rPr>
          <w:rFonts w:ascii="Arial" w:hAnsi="Arial" w:cs="Arial"/>
          <w:sz w:val="24"/>
          <w:szCs w:val="24"/>
        </w:rPr>
        <w:t>9. Individuals at Risk of Harm</w:t>
      </w:r>
      <w:bookmarkEnd w:id="17"/>
    </w:p>
    <w:p w14:paraId="097E77ED"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In addition to staff and students, those conducting a risk assessment will also consider individuals and groups who may not be in the workplace consistently. Staff will have regard to the following groups of people:</w:t>
      </w:r>
    </w:p>
    <w:p w14:paraId="53CB6203"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staff members, operators, maintenance personnel and cleaners;</w:t>
      </w:r>
    </w:p>
    <w:p w14:paraId="3C7BFFA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contractors, parents, students and visitors.</w:t>
      </w:r>
    </w:p>
    <w:p w14:paraId="7C0B9F74"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will also have due regard to the following groups, who may face a greater degree of risk:</w:t>
      </w:r>
    </w:p>
    <w:p w14:paraId="64F113A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staff and students with disabilities, and students with SEND;</w:t>
      </w:r>
    </w:p>
    <w:p w14:paraId="0F8C113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inexperienced staff and lone workers;</w:t>
      </w:r>
    </w:p>
    <w:p w14:paraId="0B7E18A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new and expectant mothers;</w:t>
      </w:r>
    </w:p>
    <w:p w14:paraId="7F84305A"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staff and students with mental health needs;</w:t>
      </w:r>
    </w:p>
    <w:p w14:paraId="0D3FF8AA"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students with safeguarding needs;</w:t>
      </w:r>
    </w:p>
    <w:p w14:paraId="6A3350EC"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other groups which could be particularly at risk depending on the nature of the hazard.</w:t>
      </w:r>
    </w:p>
    <w:p w14:paraId="4DB44C4B" w14:textId="77777777" w:rsidR="008863B3" w:rsidRPr="00DB5E69" w:rsidRDefault="00122C34" w:rsidP="00DB5E69">
      <w:pPr>
        <w:pStyle w:val="Heading1"/>
        <w:spacing w:before="300" w:after="150" w:line="276" w:lineRule="auto"/>
        <w:rPr>
          <w:rFonts w:ascii="Arial" w:hAnsi="Arial" w:cs="Arial"/>
          <w:sz w:val="24"/>
          <w:szCs w:val="24"/>
        </w:rPr>
      </w:pPr>
      <w:bookmarkStart w:id="18" w:name="_Toc239931500"/>
      <w:r w:rsidRPr="00DB5E69">
        <w:rPr>
          <w:rFonts w:ascii="Arial" w:hAnsi="Arial" w:cs="Arial"/>
          <w:sz w:val="24"/>
          <w:szCs w:val="24"/>
        </w:rPr>
        <w:t>10. Evaluating Risks</w:t>
      </w:r>
      <w:bookmarkEnd w:id="18"/>
    </w:p>
    <w:p w14:paraId="18DFBBEE"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will evaluate the risks arising from identified hazards and decide whether existing precautions are adequate or whether more should be done, in line with Section 6 (Risk Ratings) of this policy. For each significant hazard, staff will decide whether the residual risk is high, moderate or low, and will consider whether relevant industry standards are in place and whether all that is reasonably practicable has been done to keep the workplace safe.</w:t>
      </w:r>
    </w:p>
    <w:p w14:paraId="5A395567"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will ensure that managing additional hazards does not interfere with other control measures, such as fire safety, and will ensure that adequate information, instruction and training, and adequate systems and procedures, are in place.</w:t>
      </w:r>
    </w:p>
    <w:p w14:paraId="648E363E"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When implementing control measures, staff will have due regard to whether the precautions meet the standards set by a legal requirement, comply with recognised industry standards, represent good practice, and appropriately change any existing precautions in place. To reduce risks as far as reasonably practicable, staff will aim to eradicate the hazard completely or control the risk significantly, so that harm can be deemed unlikely, or its likelihood sufficiently minimised.</w:t>
      </w:r>
    </w:p>
    <w:p w14:paraId="3EC3E2F5" w14:textId="77777777" w:rsidR="008863B3" w:rsidRPr="00DB5E69" w:rsidRDefault="00122C34" w:rsidP="00DB5E69">
      <w:pPr>
        <w:pStyle w:val="Heading1"/>
        <w:spacing w:before="300" w:after="150" w:line="276" w:lineRule="auto"/>
        <w:rPr>
          <w:rFonts w:ascii="Arial" w:hAnsi="Arial" w:cs="Arial"/>
          <w:sz w:val="24"/>
          <w:szCs w:val="24"/>
        </w:rPr>
      </w:pPr>
      <w:bookmarkStart w:id="19" w:name="_Toc239931501"/>
      <w:r w:rsidRPr="00DB5E69">
        <w:rPr>
          <w:rFonts w:ascii="Arial" w:hAnsi="Arial" w:cs="Arial"/>
          <w:sz w:val="24"/>
          <w:szCs w:val="24"/>
        </w:rPr>
        <w:t>11. Recording Findings</w:t>
      </w:r>
      <w:bookmarkEnd w:id="19"/>
    </w:p>
    <w:p w14:paraId="7BE6A332"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will ensure that significant hazards are recorded, along with the control measures in place to mitigate them and the expected outcome following implementation of those measures. Up-to-date copies of risk assessments are stored in the school office, in line with the school's Records Management Policy.</w:t>
      </w:r>
    </w:p>
    <w:p w14:paraId="5A0FBF5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lastRenderedPageBreak/>
        <w:t>Where a risk assessment includes personal details about an individual, e.g. personal health information, the school will ensure the assessment maintains that individual's confidentiality and will only share its details where necessary.</w:t>
      </w:r>
    </w:p>
    <w:p w14:paraId="292BF79F"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will not be required to show how the assessment was carried out, provided that: a proper check was made; the assessment details who might be affected; all obvious, significant hazards are considered, taking into account the number of people who could be involved; and the precautions are reasonable, with the remaining risk low.</w:t>
      </w:r>
    </w:p>
    <w:p w14:paraId="16C75D24"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All findings are reported to the Headteacher. Where the impact or likelihood of major risks cannot be minimised, the Headteacher will decide whether the activity can still take place.</w:t>
      </w:r>
    </w:p>
    <w:p w14:paraId="794CE167" w14:textId="77777777" w:rsidR="008863B3" w:rsidRPr="00DB5E69" w:rsidRDefault="00122C34" w:rsidP="00DB5E69">
      <w:pPr>
        <w:pStyle w:val="Heading1"/>
        <w:spacing w:before="300" w:after="150" w:line="276" w:lineRule="auto"/>
        <w:rPr>
          <w:rFonts w:ascii="Arial" w:hAnsi="Arial" w:cs="Arial"/>
          <w:sz w:val="24"/>
          <w:szCs w:val="24"/>
        </w:rPr>
      </w:pPr>
      <w:bookmarkStart w:id="20" w:name="_Toc239931502"/>
      <w:r w:rsidRPr="00DB5E69">
        <w:rPr>
          <w:rFonts w:ascii="Arial" w:hAnsi="Arial" w:cs="Arial"/>
          <w:sz w:val="24"/>
          <w:szCs w:val="24"/>
        </w:rPr>
        <w:t>12. Reviewing</w:t>
      </w:r>
      <w:bookmarkEnd w:id="20"/>
    </w:p>
    <w:p w14:paraId="1570168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Any concerns from staff regarding the control measures implemented following a risk assessment will be discussed with line managers and, where relevant, trade union representatives, in the first instance, to try to reach a collaborative solution. Concerns will be escalated to the HSE if further action is needed.</w:t>
      </w:r>
    </w:p>
    <w:p w14:paraId="081CA797"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Risk assessments are reviewed in line with the school's Risk Assessment Review Tracker. The school reviews risk assessments:</w:t>
      </w:r>
    </w:p>
    <w:p w14:paraId="4E55F2F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when there are changes to an activity;</w:t>
      </w:r>
    </w:p>
    <w:p w14:paraId="5256E6E4"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after a near-miss or accident;</w:t>
      </w:r>
    </w:p>
    <w:p w14:paraId="6AE487A7"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when there are changes to the type of people involved in the activity;</w:t>
      </w:r>
    </w:p>
    <w:p w14:paraId="5C34EECD"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when there are changes to good practice or related legislation;</w:t>
      </w:r>
    </w:p>
    <w:p w14:paraId="75BA2648"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annually, if for no other reason.</w:t>
      </w:r>
    </w:p>
    <w:p w14:paraId="015B8302"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Reviews of risk assessments are dynamic, as necessary, and a new risk assessment will not be conducted unless there are significant changes relevant to the activity in question. Risk assessments developed for high-risk activities are reviewed on a termly basis by the individual who created the risk assessment and the Headteacher.</w:t>
      </w:r>
    </w:p>
    <w:p w14:paraId="2EBD981A"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All reviews are recorded on the Risk Assessment Review Tracker, and changes are communicated to all relevant stakeholders immediately. Risk assessments are stored for the duration of the risk assessment plus three years, in line with the school's Records Management Policy, and are then securely disposed of.</w:t>
      </w:r>
    </w:p>
    <w:p w14:paraId="3A80F603" w14:textId="77777777" w:rsidR="008863B3" w:rsidRPr="00DB5E69" w:rsidRDefault="00122C34" w:rsidP="00DB5E69">
      <w:pPr>
        <w:pStyle w:val="Heading1"/>
        <w:spacing w:before="300" w:after="150" w:line="276" w:lineRule="auto"/>
        <w:rPr>
          <w:rFonts w:ascii="Arial" w:hAnsi="Arial" w:cs="Arial"/>
          <w:sz w:val="24"/>
          <w:szCs w:val="24"/>
        </w:rPr>
      </w:pPr>
      <w:bookmarkStart w:id="21" w:name="_Toc239931503"/>
      <w:r w:rsidRPr="00DB5E69">
        <w:rPr>
          <w:rFonts w:ascii="Arial" w:hAnsi="Arial" w:cs="Arial"/>
          <w:sz w:val="24"/>
          <w:szCs w:val="24"/>
        </w:rPr>
        <w:t>13. Training</w:t>
      </w:r>
      <w:bookmarkEnd w:id="21"/>
    </w:p>
    <w:p w14:paraId="006AAAE5"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All staff members receive annual training on basic risk management procedures. Staff members with responsibility for creating and completing risk assessments receive in-depth annual training on risk management, in addition to the basic training offered. All new staff receive training on risk management and are required to familiarise themselves with this policy as part of their induction.</w:t>
      </w:r>
    </w:p>
    <w:p w14:paraId="172ACE3D"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Staff whose work involves a greater element of risk receive extra or specific training, including on using industrial machinery, managing asbestos, and the storage of, and accountability for, potentially hazardous materials in their buildings.</w:t>
      </w:r>
    </w:p>
    <w:p w14:paraId="6036B2BB" w14:textId="77777777" w:rsidR="008863B3" w:rsidRPr="00DB5E69" w:rsidRDefault="00122C34" w:rsidP="00DB5E69">
      <w:pPr>
        <w:pStyle w:val="Heading1"/>
        <w:spacing w:before="300" w:after="150" w:line="276" w:lineRule="auto"/>
        <w:rPr>
          <w:rFonts w:ascii="Arial" w:hAnsi="Arial" w:cs="Arial"/>
          <w:sz w:val="24"/>
          <w:szCs w:val="24"/>
        </w:rPr>
      </w:pPr>
      <w:bookmarkStart w:id="22" w:name="_Toc239931504"/>
      <w:r w:rsidRPr="00DB5E69">
        <w:rPr>
          <w:rFonts w:ascii="Arial" w:hAnsi="Arial" w:cs="Arial"/>
          <w:sz w:val="24"/>
          <w:szCs w:val="24"/>
        </w:rPr>
        <w:lastRenderedPageBreak/>
        <w:t>14. Monitoring and Review</w:t>
      </w:r>
      <w:bookmarkEnd w:id="22"/>
    </w:p>
    <w:p w14:paraId="2D739A98"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This policy is reviewed on an annual basis by the Headteacher, in liaison with the Health and Safety Lead. The next scheduled review date for this policy is September 2027. Any changes made to this policy will be communicated to all relevant stakeholders.</w:t>
      </w:r>
    </w:p>
    <w:p w14:paraId="46FE9588" w14:textId="77777777" w:rsidR="008863B3" w:rsidRPr="00DB5E69" w:rsidRDefault="00122C34" w:rsidP="00DB5E69">
      <w:pPr>
        <w:pStyle w:val="Heading1"/>
        <w:spacing w:before="300" w:after="150" w:line="276" w:lineRule="auto"/>
        <w:rPr>
          <w:rFonts w:ascii="Arial" w:hAnsi="Arial" w:cs="Arial"/>
          <w:sz w:val="24"/>
          <w:szCs w:val="24"/>
        </w:rPr>
      </w:pPr>
      <w:bookmarkStart w:id="23" w:name="_Toc239931505"/>
      <w:r w:rsidRPr="00DB5E69">
        <w:rPr>
          <w:rFonts w:ascii="Arial" w:hAnsi="Arial" w:cs="Arial"/>
          <w:sz w:val="24"/>
          <w:szCs w:val="24"/>
        </w:rPr>
        <w:t>15. Links with Other Policies</w:t>
      </w:r>
      <w:bookmarkEnd w:id="23"/>
    </w:p>
    <w:p w14:paraId="2FBB53DB"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This policy should be read alongside the following Dovecote School policies:</w:t>
      </w:r>
    </w:p>
    <w:p w14:paraId="408CBD0B"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Health and Safety Policy</w:t>
      </w:r>
    </w:p>
    <w:p w14:paraId="723D2995"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Fire Safety Policy</w:t>
      </w:r>
    </w:p>
    <w:p w14:paraId="2F712A1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First Aid Policy</w:t>
      </w:r>
    </w:p>
    <w:p w14:paraId="2369BDCE"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Educational Visits Policy</w:t>
      </w:r>
    </w:p>
    <w:p w14:paraId="2AA359C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Child Protection &amp; Safeguarding Policy</w:t>
      </w:r>
    </w:p>
    <w:p w14:paraId="57B92919"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Special Educational Needs and Disabilities (SEND) Policy</w:t>
      </w:r>
    </w:p>
    <w:p w14:paraId="756A882F" w14:textId="77777777" w:rsidR="008863B3" w:rsidRPr="00DB5E69" w:rsidRDefault="00122C34" w:rsidP="00DB5E69">
      <w:pPr>
        <w:pStyle w:val="ListParagraph"/>
        <w:numPr>
          <w:ilvl w:val="0"/>
          <w:numId w:val="2"/>
        </w:numPr>
        <w:spacing w:after="80" w:line="276" w:lineRule="auto"/>
        <w:rPr>
          <w:rFonts w:ascii="Arial" w:hAnsi="Arial" w:cs="Arial"/>
          <w:sz w:val="24"/>
          <w:szCs w:val="24"/>
        </w:rPr>
      </w:pPr>
      <w:r w:rsidRPr="00DB5E69">
        <w:rPr>
          <w:rFonts w:ascii="Arial" w:hAnsi="Arial" w:cs="Arial"/>
          <w:sz w:val="24"/>
          <w:szCs w:val="24"/>
        </w:rPr>
        <w:t>Prevent Duty Policy</w:t>
      </w:r>
    </w:p>
    <w:p w14:paraId="12F766B1"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br w:type="page"/>
      </w:r>
    </w:p>
    <w:p w14:paraId="382B5244" w14:textId="77777777" w:rsidR="008863B3" w:rsidRPr="00DB5E69" w:rsidRDefault="00122C34" w:rsidP="00DB5E69">
      <w:pPr>
        <w:pStyle w:val="Heading1"/>
        <w:spacing w:before="300" w:after="150" w:line="276" w:lineRule="auto"/>
        <w:rPr>
          <w:rFonts w:ascii="Arial" w:hAnsi="Arial" w:cs="Arial"/>
          <w:sz w:val="24"/>
          <w:szCs w:val="24"/>
        </w:rPr>
      </w:pPr>
      <w:bookmarkStart w:id="24" w:name="_Toc239931506"/>
      <w:r w:rsidRPr="00DB5E69">
        <w:rPr>
          <w:rFonts w:ascii="Arial" w:hAnsi="Arial" w:cs="Arial"/>
          <w:sz w:val="24"/>
          <w:szCs w:val="24"/>
        </w:rPr>
        <w:lastRenderedPageBreak/>
        <w:t>Appendix A: Statutory Risk Assessments Checklist</w:t>
      </w:r>
      <w:bookmarkEnd w:id="24"/>
    </w:p>
    <w:p w14:paraId="70FFDCDB" w14:textId="77777777" w:rsidR="008863B3" w:rsidRPr="00DB5E69" w:rsidRDefault="00122C34" w:rsidP="00DB5E69">
      <w:pPr>
        <w:spacing w:after="160" w:line="276" w:lineRule="auto"/>
        <w:rPr>
          <w:rFonts w:ascii="Arial" w:hAnsi="Arial" w:cs="Arial"/>
          <w:sz w:val="24"/>
          <w:szCs w:val="24"/>
        </w:rPr>
      </w:pPr>
      <w:r w:rsidRPr="00DB5E69">
        <w:rPr>
          <w:rFonts w:ascii="Arial" w:hAnsi="Arial" w:cs="Arial"/>
          <w:sz w:val="24"/>
          <w:szCs w:val="24"/>
        </w:rPr>
        <w:t>The table below lists the risk assessments Dovecote School is required to have in place. This is not an exhaustive list, and the Health and Safety Lead maintains the master Risk Assessment Review Tracker referenced throughout this policy; this checklist is provided for quick reference and review purposes.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9"/>
        <w:gridCol w:w="1168"/>
        <w:gridCol w:w="1752"/>
        <w:gridCol w:w="1947"/>
      </w:tblGrid>
      <w:tr w:rsidR="008863B3" w:rsidRPr="00DB5E69" w14:paraId="03672083" w14:textId="77777777">
        <w:tblPrEx>
          <w:tblCellMar>
            <w:top w:w="0" w:type="dxa"/>
            <w:bottom w:w="0" w:type="dxa"/>
          </w:tblCellMar>
        </w:tblPrEx>
        <w:trPr>
          <w:tblHeader/>
        </w:trPr>
        <w:tc>
          <w:tcPr>
            <w:tcW w:w="0" w:type="auto"/>
            <w:shd w:val="clear" w:color="auto" w:fill="1F3864"/>
          </w:tcPr>
          <w:p w14:paraId="22C8BBD1"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Risk assessment required</w:t>
            </w:r>
          </w:p>
        </w:tc>
        <w:tc>
          <w:tcPr>
            <w:tcW w:w="0" w:type="auto"/>
            <w:shd w:val="clear" w:color="auto" w:fill="1F3864"/>
          </w:tcPr>
          <w:p w14:paraId="09D9F6F4"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In place</w:t>
            </w:r>
          </w:p>
        </w:tc>
        <w:tc>
          <w:tcPr>
            <w:tcW w:w="0" w:type="auto"/>
            <w:shd w:val="clear" w:color="auto" w:fill="1F3864"/>
          </w:tcPr>
          <w:p w14:paraId="09E3A0B2"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Completed by</w:t>
            </w:r>
          </w:p>
        </w:tc>
        <w:tc>
          <w:tcPr>
            <w:tcW w:w="0" w:type="auto"/>
            <w:shd w:val="clear" w:color="auto" w:fill="1F3864"/>
          </w:tcPr>
          <w:p w14:paraId="7C988D06" w14:textId="77777777" w:rsidR="008863B3" w:rsidRPr="00DB5E69" w:rsidRDefault="00122C34" w:rsidP="00DB5E69">
            <w:pPr>
              <w:spacing w:line="276" w:lineRule="auto"/>
              <w:rPr>
                <w:rFonts w:ascii="Arial" w:hAnsi="Arial" w:cs="Arial"/>
                <w:sz w:val="24"/>
                <w:szCs w:val="24"/>
              </w:rPr>
            </w:pPr>
            <w:r w:rsidRPr="00DB5E69">
              <w:rPr>
                <w:rFonts w:ascii="Arial" w:hAnsi="Arial" w:cs="Arial"/>
                <w:b/>
                <w:bCs/>
                <w:color w:val="FFFFFF"/>
                <w:sz w:val="24"/>
                <w:szCs w:val="24"/>
              </w:rPr>
              <w:t>Date of review</w:t>
            </w:r>
          </w:p>
        </w:tc>
      </w:tr>
      <w:tr w:rsidR="008863B3" w:rsidRPr="00DB5E69" w14:paraId="40BE7503" w14:textId="77777777">
        <w:tblPrEx>
          <w:tblCellMar>
            <w:top w:w="0" w:type="dxa"/>
            <w:bottom w:w="0" w:type="dxa"/>
          </w:tblCellMar>
        </w:tblPrEx>
        <w:tc>
          <w:tcPr>
            <w:tcW w:w="2500" w:type="pct"/>
          </w:tcPr>
          <w:p w14:paraId="2656E27C"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Whole Site Risk Assessment</w:t>
            </w:r>
          </w:p>
        </w:tc>
        <w:tc>
          <w:tcPr>
            <w:tcW w:w="600" w:type="pct"/>
          </w:tcPr>
          <w:p w14:paraId="6E3B7EEB" w14:textId="77777777" w:rsidR="008863B3" w:rsidRPr="00DB5E69" w:rsidRDefault="008863B3" w:rsidP="00DB5E69">
            <w:pPr>
              <w:spacing w:line="276" w:lineRule="auto"/>
              <w:rPr>
                <w:rFonts w:ascii="Arial" w:hAnsi="Arial" w:cs="Arial"/>
                <w:sz w:val="24"/>
                <w:szCs w:val="24"/>
              </w:rPr>
            </w:pPr>
          </w:p>
        </w:tc>
        <w:tc>
          <w:tcPr>
            <w:tcW w:w="900" w:type="pct"/>
          </w:tcPr>
          <w:p w14:paraId="7B80EF55" w14:textId="77777777" w:rsidR="008863B3" w:rsidRPr="00DB5E69" w:rsidRDefault="008863B3" w:rsidP="00DB5E69">
            <w:pPr>
              <w:spacing w:line="276" w:lineRule="auto"/>
              <w:rPr>
                <w:rFonts w:ascii="Arial" w:hAnsi="Arial" w:cs="Arial"/>
                <w:sz w:val="24"/>
                <w:szCs w:val="24"/>
              </w:rPr>
            </w:pPr>
          </w:p>
        </w:tc>
        <w:tc>
          <w:tcPr>
            <w:tcW w:w="1000" w:type="pct"/>
          </w:tcPr>
          <w:p w14:paraId="1C6A9AB9" w14:textId="77777777" w:rsidR="008863B3" w:rsidRPr="00DB5E69" w:rsidRDefault="008863B3" w:rsidP="00DB5E69">
            <w:pPr>
              <w:spacing w:line="276" w:lineRule="auto"/>
              <w:rPr>
                <w:rFonts w:ascii="Arial" w:hAnsi="Arial" w:cs="Arial"/>
                <w:sz w:val="24"/>
                <w:szCs w:val="24"/>
              </w:rPr>
            </w:pPr>
          </w:p>
        </w:tc>
      </w:tr>
      <w:tr w:rsidR="008863B3" w:rsidRPr="00DB5E69" w14:paraId="2C1E0323" w14:textId="77777777">
        <w:tblPrEx>
          <w:tblCellMar>
            <w:top w:w="0" w:type="dxa"/>
            <w:bottom w:w="0" w:type="dxa"/>
          </w:tblCellMar>
        </w:tblPrEx>
        <w:tc>
          <w:tcPr>
            <w:tcW w:w="2500" w:type="pct"/>
          </w:tcPr>
          <w:p w14:paraId="659BCAB4"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Asbestos</w:t>
            </w:r>
          </w:p>
        </w:tc>
        <w:tc>
          <w:tcPr>
            <w:tcW w:w="600" w:type="pct"/>
          </w:tcPr>
          <w:p w14:paraId="24BC5AB2" w14:textId="77777777" w:rsidR="008863B3" w:rsidRPr="00DB5E69" w:rsidRDefault="008863B3" w:rsidP="00DB5E69">
            <w:pPr>
              <w:spacing w:line="276" w:lineRule="auto"/>
              <w:rPr>
                <w:rFonts w:ascii="Arial" w:hAnsi="Arial" w:cs="Arial"/>
                <w:sz w:val="24"/>
                <w:szCs w:val="24"/>
              </w:rPr>
            </w:pPr>
          </w:p>
        </w:tc>
        <w:tc>
          <w:tcPr>
            <w:tcW w:w="900" w:type="pct"/>
          </w:tcPr>
          <w:p w14:paraId="68F02971" w14:textId="77777777" w:rsidR="008863B3" w:rsidRPr="00DB5E69" w:rsidRDefault="008863B3" w:rsidP="00DB5E69">
            <w:pPr>
              <w:spacing w:line="276" w:lineRule="auto"/>
              <w:rPr>
                <w:rFonts w:ascii="Arial" w:hAnsi="Arial" w:cs="Arial"/>
                <w:sz w:val="24"/>
                <w:szCs w:val="24"/>
              </w:rPr>
            </w:pPr>
          </w:p>
        </w:tc>
        <w:tc>
          <w:tcPr>
            <w:tcW w:w="1000" w:type="pct"/>
          </w:tcPr>
          <w:p w14:paraId="6072B887" w14:textId="77777777" w:rsidR="008863B3" w:rsidRPr="00DB5E69" w:rsidRDefault="008863B3" w:rsidP="00DB5E69">
            <w:pPr>
              <w:spacing w:line="276" w:lineRule="auto"/>
              <w:rPr>
                <w:rFonts w:ascii="Arial" w:hAnsi="Arial" w:cs="Arial"/>
                <w:sz w:val="24"/>
                <w:szCs w:val="24"/>
              </w:rPr>
            </w:pPr>
          </w:p>
        </w:tc>
      </w:tr>
      <w:tr w:rsidR="008863B3" w:rsidRPr="00DB5E69" w14:paraId="1145D973" w14:textId="77777777">
        <w:tblPrEx>
          <w:tblCellMar>
            <w:top w:w="0" w:type="dxa"/>
            <w:bottom w:w="0" w:type="dxa"/>
          </w:tblCellMar>
        </w:tblPrEx>
        <w:tc>
          <w:tcPr>
            <w:tcW w:w="2500" w:type="pct"/>
          </w:tcPr>
          <w:p w14:paraId="166B255E"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Children being drawn into terrorism (Prevent Duty)</w:t>
            </w:r>
          </w:p>
        </w:tc>
        <w:tc>
          <w:tcPr>
            <w:tcW w:w="600" w:type="pct"/>
          </w:tcPr>
          <w:p w14:paraId="27853DD9" w14:textId="77777777" w:rsidR="008863B3" w:rsidRPr="00DB5E69" w:rsidRDefault="008863B3" w:rsidP="00DB5E69">
            <w:pPr>
              <w:spacing w:line="276" w:lineRule="auto"/>
              <w:rPr>
                <w:rFonts w:ascii="Arial" w:hAnsi="Arial" w:cs="Arial"/>
                <w:sz w:val="24"/>
                <w:szCs w:val="24"/>
              </w:rPr>
            </w:pPr>
          </w:p>
        </w:tc>
        <w:tc>
          <w:tcPr>
            <w:tcW w:w="900" w:type="pct"/>
          </w:tcPr>
          <w:p w14:paraId="3DA2783C" w14:textId="77777777" w:rsidR="008863B3" w:rsidRPr="00DB5E69" w:rsidRDefault="008863B3" w:rsidP="00DB5E69">
            <w:pPr>
              <w:spacing w:line="276" w:lineRule="auto"/>
              <w:rPr>
                <w:rFonts w:ascii="Arial" w:hAnsi="Arial" w:cs="Arial"/>
                <w:sz w:val="24"/>
                <w:szCs w:val="24"/>
              </w:rPr>
            </w:pPr>
          </w:p>
        </w:tc>
        <w:tc>
          <w:tcPr>
            <w:tcW w:w="1000" w:type="pct"/>
          </w:tcPr>
          <w:p w14:paraId="1CEB7DCD" w14:textId="77777777" w:rsidR="008863B3" w:rsidRPr="00DB5E69" w:rsidRDefault="008863B3" w:rsidP="00DB5E69">
            <w:pPr>
              <w:spacing w:line="276" w:lineRule="auto"/>
              <w:rPr>
                <w:rFonts w:ascii="Arial" w:hAnsi="Arial" w:cs="Arial"/>
                <w:sz w:val="24"/>
                <w:szCs w:val="24"/>
              </w:rPr>
            </w:pPr>
          </w:p>
        </w:tc>
      </w:tr>
      <w:tr w:rsidR="008863B3" w:rsidRPr="00DB5E69" w14:paraId="0B863C5C" w14:textId="77777777">
        <w:tblPrEx>
          <w:tblCellMar>
            <w:top w:w="0" w:type="dxa"/>
            <w:bottom w:w="0" w:type="dxa"/>
          </w:tblCellMar>
        </w:tblPrEx>
        <w:tc>
          <w:tcPr>
            <w:tcW w:w="2500" w:type="pct"/>
          </w:tcPr>
          <w:p w14:paraId="3FB3B831"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Display screen equipment</w:t>
            </w:r>
          </w:p>
        </w:tc>
        <w:tc>
          <w:tcPr>
            <w:tcW w:w="600" w:type="pct"/>
          </w:tcPr>
          <w:p w14:paraId="6CADF81B" w14:textId="77777777" w:rsidR="008863B3" w:rsidRPr="00DB5E69" w:rsidRDefault="008863B3" w:rsidP="00DB5E69">
            <w:pPr>
              <w:spacing w:line="276" w:lineRule="auto"/>
              <w:rPr>
                <w:rFonts w:ascii="Arial" w:hAnsi="Arial" w:cs="Arial"/>
                <w:sz w:val="24"/>
                <w:szCs w:val="24"/>
              </w:rPr>
            </w:pPr>
          </w:p>
        </w:tc>
        <w:tc>
          <w:tcPr>
            <w:tcW w:w="900" w:type="pct"/>
          </w:tcPr>
          <w:p w14:paraId="69140883" w14:textId="77777777" w:rsidR="008863B3" w:rsidRPr="00DB5E69" w:rsidRDefault="008863B3" w:rsidP="00DB5E69">
            <w:pPr>
              <w:spacing w:line="276" w:lineRule="auto"/>
              <w:rPr>
                <w:rFonts w:ascii="Arial" w:hAnsi="Arial" w:cs="Arial"/>
                <w:sz w:val="24"/>
                <w:szCs w:val="24"/>
              </w:rPr>
            </w:pPr>
          </w:p>
        </w:tc>
        <w:tc>
          <w:tcPr>
            <w:tcW w:w="1000" w:type="pct"/>
          </w:tcPr>
          <w:p w14:paraId="40976839" w14:textId="77777777" w:rsidR="008863B3" w:rsidRPr="00DB5E69" w:rsidRDefault="008863B3" w:rsidP="00DB5E69">
            <w:pPr>
              <w:spacing w:line="276" w:lineRule="auto"/>
              <w:rPr>
                <w:rFonts w:ascii="Arial" w:hAnsi="Arial" w:cs="Arial"/>
                <w:sz w:val="24"/>
                <w:szCs w:val="24"/>
              </w:rPr>
            </w:pPr>
          </w:p>
        </w:tc>
      </w:tr>
      <w:tr w:rsidR="008863B3" w:rsidRPr="00DB5E69" w14:paraId="10BB27E0" w14:textId="77777777">
        <w:tblPrEx>
          <w:tblCellMar>
            <w:top w:w="0" w:type="dxa"/>
            <w:bottom w:w="0" w:type="dxa"/>
          </w:tblCellMar>
        </w:tblPrEx>
        <w:tc>
          <w:tcPr>
            <w:tcW w:w="2500" w:type="pct"/>
          </w:tcPr>
          <w:p w14:paraId="37C64D3F"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Fire (see Fire Safety Policy)</w:t>
            </w:r>
          </w:p>
        </w:tc>
        <w:tc>
          <w:tcPr>
            <w:tcW w:w="600" w:type="pct"/>
          </w:tcPr>
          <w:p w14:paraId="4D8E29BA" w14:textId="77777777" w:rsidR="008863B3" w:rsidRPr="00DB5E69" w:rsidRDefault="008863B3" w:rsidP="00DB5E69">
            <w:pPr>
              <w:spacing w:line="276" w:lineRule="auto"/>
              <w:rPr>
                <w:rFonts w:ascii="Arial" w:hAnsi="Arial" w:cs="Arial"/>
                <w:sz w:val="24"/>
                <w:szCs w:val="24"/>
              </w:rPr>
            </w:pPr>
          </w:p>
        </w:tc>
        <w:tc>
          <w:tcPr>
            <w:tcW w:w="900" w:type="pct"/>
          </w:tcPr>
          <w:p w14:paraId="61E3951E" w14:textId="77777777" w:rsidR="008863B3" w:rsidRPr="00DB5E69" w:rsidRDefault="008863B3" w:rsidP="00DB5E69">
            <w:pPr>
              <w:spacing w:line="276" w:lineRule="auto"/>
              <w:rPr>
                <w:rFonts w:ascii="Arial" w:hAnsi="Arial" w:cs="Arial"/>
                <w:sz w:val="24"/>
                <w:szCs w:val="24"/>
              </w:rPr>
            </w:pPr>
          </w:p>
        </w:tc>
        <w:tc>
          <w:tcPr>
            <w:tcW w:w="1000" w:type="pct"/>
          </w:tcPr>
          <w:p w14:paraId="72DC83DA" w14:textId="77777777" w:rsidR="008863B3" w:rsidRPr="00DB5E69" w:rsidRDefault="008863B3" w:rsidP="00DB5E69">
            <w:pPr>
              <w:spacing w:line="276" w:lineRule="auto"/>
              <w:rPr>
                <w:rFonts w:ascii="Arial" w:hAnsi="Arial" w:cs="Arial"/>
                <w:sz w:val="24"/>
                <w:szCs w:val="24"/>
              </w:rPr>
            </w:pPr>
          </w:p>
        </w:tc>
      </w:tr>
      <w:tr w:rsidR="008863B3" w:rsidRPr="00DB5E69" w14:paraId="5007A7EC" w14:textId="77777777">
        <w:tblPrEx>
          <w:tblCellMar>
            <w:top w:w="0" w:type="dxa"/>
            <w:bottom w:w="0" w:type="dxa"/>
          </w:tblCellMar>
        </w:tblPrEx>
        <w:tc>
          <w:tcPr>
            <w:tcW w:w="2500" w:type="pct"/>
          </w:tcPr>
          <w:p w14:paraId="76F58294"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Lone working</w:t>
            </w:r>
          </w:p>
        </w:tc>
        <w:tc>
          <w:tcPr>
            <w:tcW w:w="600" w:type="pct"/>
          </w:tcPr>
          <w:p w14:paraId="439F6F89" w14:textId="77777777" w:rsidR="008863B3" w:rsidRPr="00DB5E69" w:rsidRDefault="008863B3" w:rsidP="00DB5E69">
            <w:pPr>
              <w:spacing w:line="276" w:lineRule="auto"/>
              <w:rPr>
                <w:rFonts w:ascii="Arial" w:hAnsi="Arial" w:cs="Arial"/>
                <w:sz w:val="24"/>
                <w:szCs w:val="24"/>
              </w:rPr>
            </w:pPr>
          </w:p>
        </w:tc>
        <w:tc>
          <w:tcPr>
            <w:tcW w:w="900" w:type="pct"/>
          </w:tcPr>
          <w:p w14:paraId="5686B9B4" w14:textId="77777777" w:rsidR="008863B3" w:rsidRPr="00DB5E69" w:rsidRDefault="008863B3" w:rsidP="00DB5E69">
            <w:pPr>
              <w:spacing w:line="276" w:lineRule="auto"/>
              <w:rPr>
                <w:rFonts w:ascii="Arial" w:hAnsi="Arial" w:cs="Arial"/>
                <w:sz w:val="24"/>
                <w:szCs w:val="24"/>
              </w:rPr>
            </w:pPr>
          </w:p>
        </w:tc>
        <w:tc>
          <w:tcPr>
            <w:tcW w:w="1000" w:type="pct"/>
          </w:tcPr>
          <w:p w14:paraId="098F0D8E" w14:textId="77777777" w:rsidR="008863B3" w:rsidRPr="00DB5E69" w:rsidRDefault="008863B3" w:rsidP="00DB5E69">
            <w:pPr>
              <w:spacing w:line="276" w:lineRule="auto"/>
              <w:rPr>
                <w:rFonts w:ascii="Arial" w:hAnsi="Arial" w:cs="Arial"/>
                <w:sz w:val="24"/>
                <w:szCs w:val="24"/>
              </w:rPr>
            </w:pPr>
          </w:p>
        </w:tc>
      </w:tr>
      <w:tr w:rsidR="008863B3" w:rsidRPr="00DB5E69" w14:paraId="3EE3110D" w14:textId="77777777">
        <w:tblPrEx>
          <w:tblCellMar>
            <w:top w:w="0" w:type="dxa"/>
            <w:bottom w:w="0" w:type="dxa"/>
          </w:tblCellMar>
        </w:tblPrEx>
        <w:tc>
          <w:tcPr>
            <w:tcW w:w="2500" w:type="pct"/>
          </w:tcPr>
          <w:p w14:paraId="50C1F06F"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Manual handling</w:t>
            </w:r>
          </w:p>
        </w:tc>
        <w:tc>
          <w:tcPr>
            <w:tcW w:w="600" w:type="pct"/>
          </w:tcPr>
          <w:p w14:paraId="3B31BB26" w14:textId="77777777" w:rsidR="008863B3" w:rsidRPr="00DB5E69" w:rsidRDefault="008863B3" w:rsidP="00DB5E69">
            <w:pPr>
              <w:spacing w:line="276" w:lineRule="auto"/>
              <w:rPr>
                <w:rFonts w:ascii="Arial" w:hAnsi="Arial" w:cs="Arial"/>
                <w:sz w:val="24"/>
                <w:szCs w:val="24"/>
              </w:rPr>
            </w:pPr>
          </w:p>
        </w:tc>
        <w:tc>
          <w:tcPr>
            <w:tcW w:w="900" w:type="pct"/>
          </w:tcPr>
          <w:p w14:paraId="7DE57F10" w14:textId="77777777" w:rsidR="008863B3" w:rsidRPr="00DB5E69" w:rsidRDefault="008863B3" w:rsidP="00DB5E69">
            <w:pPr>
              <w:spacing w:line="276" w:lineRule="auto"/>
              <w:rPr>
                <w:rFonts w:ascii="Arial" w:hAnsi="Arial" w:cs="Arial"/>
                <w:sz w:val="24"/>
                <w:szCs w:val="24"/>
              </w:rPr>
            </w:pPr>
          </w:p>
        </w:tc>
        <w:tc>
          <w:tcPr>
            <w:tcW w:w="1000" w:type="pct"/>
          </w:tcPr>
          <w:p w14:paraId="684875FB" w14:textId="77777777" w:rsidR="008863B3" w:rsidRPr="00DB5E69" w:rsidRDefault="008863B3" w:rsidP="00DB5E69">
            <w:pPr>
              <w:spacing w:line="276" w:lineRule="auto"/>
              <w:rPr>
                <w:rFonts w:ascii="Arial" w:hAnsi="Arial" w:cs="Arial"/>
                <w:sz w:val="24"/>
                <w:szCs w:val="24"/>
              </w:rPr>
            </w:pPr>
          </w:p>
        </w:tc>
      </w:tr>
      <w:tr w:rsidR="008863B3" w:rsidRPr="00DB5E69" w14:paraId="531F454F" w14:textId="77777777">
        <w:tblPrEx>
          <w:tblCellMar>
            <w:top w:w="0" w:type="dxa"/>
            <w:bottom w:w="0" w:type="dxa"/>
          </w:tblCellMar>
        </w:tblPrEx>
        <w:tc>
          <w:tcPr>
            <w:tcW w:w="2500" w:type="pct"/>
          </w:tcPr>
          <w:p w14:paraId="2811E4A9"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Work-related stress</w:t>
            </w:r>
          </w:p>
        </w:tc>
        <w:tc>
          <w:tcPr>
            <w:tcW w:w="600" w:type="pct"/>
          </w:tcPr>
          <w:p w14:paraId="517DDF11" w14:textId="77777777" w:rsidR="008863B3" w:rsidRPr="00DB5E69" w:rsidRDefault="008863B3" w:rsidP="00DB5E69">
            <w:pPr>
              <w:spacing w:line="276" w:lineRule="auto"/>
              <w:rPr>
                <w:rFonts w:ascii="Arial" w:hAnsi="Arial" w:cs="Arial"/>
                <w:sz w:val="24"/>
                <w:szCs w:val="24"/>
              </w:rPr>
            </w:pPr>
          </w:p>
        </w:tc>
        <w:tc>
          <w:tcPr>
            <w:tcW w:w="900" w:type="pct"/>
          </w:tcPr>
          <w:p w14:paraId="64E36770" w14:textId="77777777" w:rsidR="008863B3" w:rsidRPr="00DB5E69" w:rsidRDefault="008863B3" w:rsidP="00DB5E69">
            <w:pPr>
              <w:spacing w:line="276" w:lineRule="auto"/>
              <w:rPr>
                <w:rFonts w:ascii="Arial" w:hAnsi="Arial" w:cs="Arial"/>
                <w:sz w:val="24"/>
                <w:szCs w:val="24"/>
              </w:rPr>
            </w:pPr>
          </w:p>
        </w:tc>
        <w:tc>
          <w:tcPr>
            <w:tcW w:w="1000" w:type="pct"/>
          </w:tcPr>
          <w:p w14:paraId="030432D8" w14:textId="77777777" w:rsidR="008863B3" w:rsidRPr="00DB5E69" w:rsidRDefault="008863B3" w:rsidP="00DB5E69">
            <w:pPr>
              <w:spacing w:line="276" w:lineRule="auto"/>
              <w:rPr>
                <w:rFonts w:ascii="Arial" w:hAnsi="Arial" w:cs="Arial"/>
                <w:sz w:val="24"/>
                <w:szCs w:val="24"/>
              </w:rPr>
            </w:pPr>
          </w:p>
        </w:tc>
      </w:tr>
      <w:tr w:rsidR="008863B3" w:rsidRPr="00DB5E69" w14:paraId="2E844F5C" w14:textId="77777777">
        <w:tblPrEx>
          <w:tblCellMar>
            <w:top w:w="0" w:type="dxa"/>
            <w:bottom w:w="0" w:type="dxa"/>
          </w:tblCellMar>
        </w:tblPrEx>
        <w:tc>
          <w:tcPr>
            <w:tcW w:w="2500" w:type="pct"/>
          </w:tcPr>
          <w:p w14:paraId="71B2D46B"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Swimming pools (where applicable)</w:t>
            </w:r>
          </w:p>
        </w:tc>
        <w:tc>
          <w:tcPr>
            <w:tcW w:w="600" w:type="pct"/>
          </w:tcPr>
          <w:p w14:paraId="748C1337" w14:textId="77777777" w:rsidR="008863B3" w:rsidRPr="00DB5E69" w:rsidRDefault="008863B3" w:rsidP="00DB5E69">
            <w:pPr>
              <w:spacing w:line="276" w:lineRule="auto"/>
              <w:rPr>
                <w:rFonts w:ascii="Arial" w:hAnsi="Arial" w:cs="Arial"/>
                <w:sz w:val="24"/>
                <w:szCs w:val="24"/>
              </w:rPr>
            </w:pPr>
          </w:p>
        </w:tc>
        <w:tc>
          <w:tcPr>
            <w:tcW w:w="900" w:type="pct"/>
          </w:tcPr>
          <w:p w14:paraId="3CCA190B" w14:textId="77777777" w:rsidR="008863B3" w:rsidRPr="00DB5E69" w:rsidRDefault="008863B3" w:rsidP="00DB5E69">
            <w:pPr>
              <w:spacing w:line="276" w:lineRule="auto"/>
              <w:rPr>
                <w:rFonts w:ascii="Arial" w:hAnsi="Arial" w:cs="Arial"/>
                <w:sz w:val="24"/>
                <w:szCs w:val="24"/>
              </w:rPr>
            </w:pPr>
          </w:p>
        </w:tc>
        <w:tc>
          <w:tcPr>
            <w:tcW w:w="1000" w:type="pct"/>
          </w:tcPr>
          <w:p w14:paraId="302FA2C6" w14:textId="77777777" w:rsidR="008863B3" w:rsidRPr="00DB5E69" w:rsidRDefault="008863B3" w:rsidP="00DB5E69">
            <w:pPr>
              <w:spacing w:line="276" w:lineRule="auto"/>
              <w:rPr>
                <w:rFonts w:ascii="Arial" w:hAnsi="Arial" w:cs="Arial"/>
                <w:sz w:val="24"/>
                <w:szCs w:val="24"/>
              </w:rPr>
            </w:pPr>
          </w:p>
        </w:tc>
      </w:tr>
      <w:tr w:rsidR="008863B3" w:rsidRPr="00DB5E69" w14:paraId="51A80DE0" w14:textId="77777777">
        <w:tblPrEx>
          <w:tblCellMar>
            <w:top w:w="0" w:type="dxa"/>
            <w:bottom w:w="0" w:type="dxa"/>
          </w:tblCellMar>
        </w:tblPrEx>
        <w:tc>
          <w:tcPr>
            <w:tcW w:w="2500" w:type="pct"/>
          </w:tcPr>
          <w:p w14:paraId="24E55690"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Working at height</w:t>
            </w:r>
          </w:p>
        </w:tc>
        <w:tc>
          <w:tcPr>
            <w:tcW w:w="600" w:type="pct"/>
          </w:tcPr>
          <w:p w14:paraId="0D36997F" w14:textId="77777777" w:rsidR="008863B3" w:rsidRPr="00DB5E69" w:rsidRDefault="008863B3" w:rsidP="00DB5E69">
            <w:pPr>
              <w:spacing w:line="276" w:lineRule="auto"/>
              <w:rPr>
                <w:rFonts w:ascii="Arial" w:hAnsi="Arial" w:cs="Arial"/>
                <w:sz w:val="24"/>
                <w:szCs w:val="24"/>
              </w:rPr>
            </w:pPr>
          </w:p>
        </w:tc>
        <w:tc>
          <w:tcPr>
            <w:tcW w:w="900" w:type="pct"/>
          </w:tcPr>
          <w:p w14:paraId="02AB660C" w14:textId="77777777" w:rsidR="008863B3" w:rsidRPr="00DB5E69" w:rsidRDefault="008863B3" w:rsidP="00DB5E69">
            <w:pPr>
              <w:spacing w:line="276" w:lineRule="auto"/>
              <w:rPr>
                <w:rFonts w:ascii="Arial" w:hAnsi="Arial" w:cs="Arial"/>
                <w:sz w:val="24"/>
                <w:szCs w:val="24"/>
              </w:rPr>
            </w:pPr>
          </w:p>
        </w:tc>
        <w:tc>
          <w:tcPr>
            <w:tcW w:w="1000" w:type="pct"/>
          </w:tcPr>
          <w:p w14:paraId="047683B9" w14:textId="77777777" w:rsidR="008863B3" w:rsidRPr="00DB5E69" w:rsidRDefault="008863B3" w:rsidP="00DB5E69">
            <w:pPr>
              <w:spacing w:line="276" w:lineRule="auto"/>
              <w:rPr>
                <w:rFonts w:ascii="Arial" w:hAnsi="Arial" w:cs="Arial"/>
                <w:sz w:val="24"/>
                <w:szCs w:val="24"/>
              </w:rPr>
            </w:pPr>
          </w:p>
        </w:tc>
      </w:tr>
      <w:tr w:rsidR="008863B3" w:rsidRPr="00DB5E69" w14:paraId="5FB2FA93" w14:textId="77777777">
        <w:tblPrEx>
          <w:tblCellMar>
            <w:top w:w="0" w:type="dxa"/>
            <w:bottom w:w="0" w:type="dxa"/>
          </w:tblCellMar>
        </w:tblPrEx>
        <w:tc>
          <w:tcPr>
            <w:tcW w:w="2500" w:type="pct"/>
          </w:tcPr>
          <w:p w14:paraId="372927A7"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Control of Substances Hazardous to Health (COSHH)</w:t>
            </w:r>
          </w:p>
        </w:tc>
        <w:tc>
          <w:tcPr>
            <w:tcW w:w="600" w:type="pct"/>
          </w:tcPr>
          <w:p w14:paraId="40E301B1" w14:textId="77777777" w:rsidR="008863B3" w:rsidRPr="00DB5E69" w:rsidRDefault="008863B3" w:rsidP="00DB5E69">
            <w:pPr>
              <w:spacing w:line="276" w:lineRule="auto"/>
              <w:rPr>
                <w:rFonts w:ascii="Arial" w:hAnsi="Arial" w:cs="Arial"/>
                <w:sz w:val="24"/>
                <w:szCs w:val="24"/>
              </w:rPr>
            </w:pPr>
          </w:p>
        </w:tc>
        <w:tc>
          <w:tcPr>
            <w:tcW w:w="900" w:type="pct"/>
          </w:tcPr>
          <w:p w14:paraId="5FC4BCD7" w14:textId="77777777" w:rsidR="008863B3" w:rsidRPr="00DB5E69" w:rsidRDefault="008863B3" w:rsidP="00DB5E69">
            <w:pPr>
              <w:spacing w:line="276" w:lineRule="auto"/>
              <w:rPr>
                <w:rFonts w:ascii="Arial" w:hAnsi="Arial" w:cs="Arial"/>
                <w:sz w:val="24"/>
                <w:szCs w:val="24"/>
              </w:rPr>
            </w:pPr>
          </w:p>
        </w:tc>
        <w:tc>
          <w:tcPr>
            <w:tcW w:w="1000" w:type="pct"/>
          </w:tcPr>
          <w:p w14:paraId="198D6045" w14:textId="77777777" w:rsidR="008863B3" w:rsidRPr="00DB5E69" w:rsidRDefault="008863B3" w:rsidP="00DB5E69">
            <w:pPr>
              <w:spacing w:line="276" w:lineRule="auto"/>
              <w:rPr>
                <w:rFonts w:ascii="Arial" w:hAnsi="Arial" w:cs="Arial"/>
                <w:sz w:val="24"/>
                <w:szCs w:val="24"/>
              </w:rPr>
            </w:pPr>
          </w:p>
        </w:tc>
      </w:tr>
      <w:tr w:rsidR="008863B3" w:rsidRPr="00DB5E69" w14:paraId="037C636F" w14:textId="77777777">
        <w:tblPrEx>
          <w:tblCellMar>
            <w:top w:w="0" w:type="dxa"/>
            <w:bottom w:w="0" w:type="dxa"/>
          </w:tblCellMar>
        </w:tblPrEx>
        <w:tc>
          <w:tcPr>
            <w:tcW w:w="2500" w:type="pct"/>
          </w:tcPr>
          <w:p w14:paraId="7043CC7D"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Hazardous substances inventory</w:t>
            </w:r>
          </w:p>
        </w:tc>
        <w:tc>
          <w:tcPr>
            <w:tcW w:w="600" w:type="pct"/>
          </w:tcPr>
          <w:p w14:paraId="7408D79C" w14:textId="77777777" w:rsidR="008863B3" w:rsidRPr="00DB5E69" w:rsidRDefault="008863B3" w:rsidP="00DB5E69">
            <w:pPr>
              <w:spacing w:line="276" w:lineRule="auto"/>
              <w:rPr>
                <w:rFonts w:ascii="Arial" w:hAnsi="Arial" w:cs="Arial"/>
                <w:sz w:val="24"/>
                <w:szCs w:val="24"/>
              </w:rPr>
            </w:pPr>
          </w:p>
        </w:tc>
        <w:tc>
          <w:tcPr>
            <w:tcW w:w="900" w:type="pct"/>
          </w:tcPr>
          <w:p w14:paraId="124473C9" w14:textId="77777777" w:rsidR="008863B3" w:rsidRPr="00DB5E69" w:rsidRDefault="008863B3" w:rsidP="00DB5E69">
            <w:pPr>
              <w:spacing w:line="276" w:lineRule="auto"/>
              <w:rPr>
                <w:rFonts w:ascii="Arial" w:hAnsi="Arial" w:cs="Arial"/>
                <w:sz w:val="24"/>
                <w:szCs w:val="24"/>
              </w:rPr>
            </w:pPr>
          </w:p>
        </w:tc>
        <w:tc>
          <w:tcPr>
            <w:tcW w:w="1000" w:type="pct"/>
          </w:tcPr>
          <w:p w14:paraId="671AA016" w14:textId="77777777" w:rsidR="008863B3" w:rsidRPr="00DB5E69" w:rsidRDefault="008863B3" w:rsidP="00DB5E69">
            <w:pPr>
              <w:spacing w:line="276" w:lineRule="auto"/>
              <w:rPr>
                <w:rFonts w:ascii="Arial" w:hAnsi="Arial" w:cs="Arial"/>
                <w:sz w:val="24"/>
                <w:szCs w:val="24"/>
              </w:rPr>
            </w:pPr>
          </w:p>
        </w:tc>
      </w:tr>
      <w:tr w:rsidR="008863B3" w:rsidRPr="00DB5E69" w14:paraId="1C40433E" w14:textId="77777777">
        <w:tblPrEx>
          <w:tblCellMar>
            <w:top w:w="0" w:type="dxa"/>
            <w:bottom w:w="0" w:type="dxa"/>
          </w:tblCellMar>
        </w:tblPrEx>
        <w:tc>
          <w:tcPr>
            <w:tcW w:w="2500" w:type="pct"/>
          </w:tcPr>
          <w:p w14:paraId="55FF3AF7"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Educational visits</w:t>
            </w:r>
          </w:p>
        </w:tc>
        <w:tc>
          <w:tcPr>
            <w:tcW w:w="600" w:type="pct"/>
          </w:tcPr>
          <w:p w14:paraId="3B8604ED" w14:textId="77777777" w:rsidR="008863B3" w:rsidRPr="00DB5E69" w:rsidRDefault="008863B3" w:rsidP="00DB5E69">
            <w:pPr>
              <w:spacing w:line="276" w:lineRule="auto"/>
              <w:rPr>
                <w:rFonts w:ascii="Arial" w:hAnsi="Arial" w:cs="Arial"/>
                <w:sz w:val="24"/>
                <w:szCs w:val="24"/>
              </w:rPr>
            </w:pPr>
          </w:p>
        </w:tc>
        <w:tc>
          <w:tcPr>
            <w:tcW w:w="900" w:type="pct"/>
          </w:tcPr>
          <w:p w14:paraId="1F77C0DB" w14:textId="77777777" w:rsidR="008863B3" w:rsidRPr="00DB5E69" w:rsidRDefault="008863B3" w:rsidP="00DB5E69">
            <w:pPr>
              <w:spacing w:line="276" w:lineRule="auto"/>
              <w:rPr>
                <w:rFonts w:ascii="Arial" w:hAnsi="Arial" w:cs="Arial"/>
                <w:sz w:val="24"/>
                <w:szCs w:val="24"/>
              </w:rPr>
            </w:pPr>
          </w:p>
        </w:tc>
        <w:tc>
          <w:tcPr>
            <w:tcW w:w="1000" w:type="pct"/>
          </w:tcPr>
          <w:p w14:paraId="502E5358" w14:textId="77777777" w:rsidR="008863B3" w:rsidRPr="00DB5E69" w:rsidRDefault="008863B3" w:rsidP="00DB5E69">
            <w:pPr>
              <w:spacing w:line="276" w:lineRule="auto"/>
              <w:rPr>
                <w:rFonts w:ascii="Arial" w:hAnsi="Arial" w:cs="Arial"/>
                <w:sz w:val="24"/>
                <w:szCs w:val="24"/>
              </w:rPr>
            </w:pPr>
          </w:p>
        </w:tc>
      </w:tr>
      <w:tr w:rsidR="008863B3" w:rsidRPr="00DB5E69" w14:paraId="7697739F" w14:textId="77777777">
        <w:tblPrEx>
          <w:tblCellMar>
            <w:top w:w="0" w:type="dxa"/>
            <w:bottom w:w="0" w:type="dxa"/>
          </w:tblCellMar>
        </w:tblPrEx>
        <w:tc>
          <w:tcPr>
            <w:tcW w:w="2500" w:type="pct"/>
          </w:tcPr>
          <w:p w14:paraId="6860670E"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Classrooms, including specialist teaching spaces</w:t>
            </w:r>
          </w:p>
        </w:tc>
        <w:tc>
          <w:tcPr>
            <w:tcW w:w="600" w:type="pct"/>
          </w:tcPr>
          <w:p w14:paraId="555E7381" w14:textId="77777777" w:rsidR="008863B3" w:rsidRPr="00DB5E69" w:rsidRDefault="008863B3" w:rsidP="00DB5E69">
            <w:pPr>
              <w:spacing w:line="276" w:lineRule="auto"/>
              <w:rPr>
                <w:rFonts w:ascii="Arial" w:hAnsi="Arial" w:cs="Arial"/>
                <w:sz w:val="24"/>
                <w:szCs w:val="24"/>
              </w:rPr>
            </w:pPr>
          </w:p>
        </w:tc>
        <w:tc>
          <w:tcPr>
            <w:tcW w:w="900" w:type="pct"/>
          </w:tcPr>
          <w:p w14:paraId="2381F987" w14:textId="77777777" w:rsidR="008863B3" w:rsidRPr="00DB5E69" w:rsidRDefault="008863B3" w:rsidP="00DB5E69">
            <w:pPr>
              <w:spacing w:line="276" w:lineRule="auto"/>
              <w:rPr>
                <w:rFonts w:ascii="Arial" w:hAnsi="Arial" w:cs="Arial"/>
                <w:sz w:val="24"/>
                <w:szCs w:val="24"/>
              </w:rPr>
            </w:pPr>
          </w:p>
        </w:tc>
        <w:tc>
          <w:tcPr>
            <w:tcW w:w="1000" w:type="pct"/>
          </w:tcPr>
          <w:p w14:paraId="4C4E6577" w14:textId="77777777" w:rsidR="008863B3" w:rsidRPr="00DB5E69" w:rsidRDefault="008863B3" w:rsidP="00DB5E69">
            <w:pPr>
              <w:spacing w:line="276" w:lineRule="auto"/>
              <w:rPr>
                <w:rFonts w:ascii="Arial" w:hAnsi="Arial" w:cs="Arial"/>
                <w:sz w:val="24"/>
                <w:szCs w:val="24"/>
              </w:rPr>
            </w:pPr>
          </w:p>
        </w:tc>
      </w:tr>
      <w:tr w:rsidR="008863B3" w:rsidRPr="00DB5E69" w14:paraId="03D7A475" w14:textId="77777777">
        <w:tblPrEx>
          <w:tblCellMar>
            <w:top w:w="0" w:type="dxa"/>
            <w:bottom w:w="0" w:type="dxa"/>
          </w:tblCellMar>
        </w:tblPrEx>
        <w:tc>
          <w:tcPr>
            <w:tcW w:w="2500" w:type="pct"/>
          </w:tcPr>
          <w:p w14:paraId="2B3BA275"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Transporting pupils in private vehicles</w:t>
            </w:r>
          </w:p>
        </w:tc>
        <w:tc>
          <w:tcPr>
            <w:tcW w:w="600" w:type="pct"/>
          </w:tcPr>
          <w:p w14:paraId="29D43A8C" w14:textId="77777777" w:rsidR="008863B3" w:rsidRPr="00DB5E69" w:rsidRDefault="008863B3" w:rsidP="00DB5E69">
            <w:pPr>
              <w:spacing w:line="276" w:lineRule="auto"/>
              <w:rPr>
                <w:rFonts w:ascii="Arial" w:hAnsi="Arial" w:cs="Arial"/>
                <w:sz w:val="24"/>
                <w:szCs w:val="24"/>
              </w:rPr>
            </w:pPr>
          </w:p>
        </w:tc>
        <w:tc>
          <w:tcPr>
            <w:tcW w:w="900" w:type="pct"/>
          </w:tcPr>
          <w:p w14:paraId="4DD6D0BE" w14:textId="77777777" w:rsidR="008863B3" w:rsidRPr="00DB5E69" w:rsidRDefault="008863B3" w:rsidP="00DB5E69">
            <w:pPr>
              <w:spacing w:line="276" w:lineRule="auto"/>
              <w:rPr>
                <w:rFonts w:ascii="Arial" w:hAnsi="Arial" w:cs="Arial"/>
                <w:sz w:val="24"/>
                <w:szCs w:val="24"/>
              </w:rPr>
            </w:pPr>
          </w:p>
        </w:tc>
        <w:tc>
          <w:tcPr>
            <w:tcW w:w="1000" w:type="pct"/>
          </w:tcPr>
          <w:p w14:paraId="4512F897" w14:textId="77777777" w:rsidR="008863B3" w:rsidRPr="00DB5E69" w:rsidRDefault="008863B3" w:rsidP="00DB5E69">
            <w:pPr>
              <w:spacing w:line="276" w:lineRule="auto"/>
              <w:rPr>
                <w:rFonts w:ascii="Arial" w:hAnsi="Arial" w:cs="Arial"/>
                <w:sz w:val="24"/>
                <w:szCs w:val="24"/>
              </w:rPr>
            </w:pPr>
          </w:p>
        </w:tc>
      </w:tr>
      <w:tr w:rsidR="008863B3" w:rsidRPr="00DB5E69" w14:paraId="2CC388F2" w14:textId="77777777">
        <w:tblPrEx>
          <w:tblCellMar>
            <w:top w:w="0" w:type="dxa"/>
            <w:bottom w:w="0" w:type="dxa"/>
          </w:tblCellMar>
        </w:tblPrEx>
        <w:tc>
          <w:tcPr>
            <w:tcW w:w="2500" w:type="pct"/>
          </w:tcPr>
          <w:p w14:paraId="02CCC9B1"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Individual pupils, where appropriate, e.g. medical or SEN-related</w:t>
            </w:r>
          </w:p>
        </w:tc>
        <w:tc>
          <w:tcPr>
            <w:tcW w:w="600" w:type="pct"/>
          </w:tcPr>
          <w:p w14:paraId="05622CB9" w14:textId="77777777" w:rsidR="008863B3" w:rsidRPr="00DB5E69" w:rsidRDefault="008863B3" w:rsidP="00DB5E69">
            <w:pPr>
              <w:spacing w:line="276" w:lineRule="auto"/>
              <w:rPr>
                <w:rFonts w:ascii="Arial" w:hAnsi="Arial" w:cs="Arial"/>
                <w:sz w:val="24"/>
                <w:szCs w:val="24"/>
              </w:rPr>
            </w:pPr>
          </w:p>
        </w:tc>
        <w:tc>
          <w:tcPr>
            <w:tcW w:w="900" w:type="pct"/>
          </w:tcPr>
          <w:p w14:paraId="225A6923" w14:textId="77777777" w:rsidR="008863B3" w:rsidRPr="00DB5E69" w:rsidRDefault="008863B3" w:rsidP="00DB5E69">
            <w:pPr>
              <w:spacing w:line="276" w:lineRule="auto"/>
              <w:rPr>
                <w:rFonts w:ascii="Arial" w:hAnsi="Arial" w:cs="Arial"/>
                <w:sz w:val="24"/>
                <w:szCs w:val="24"/>
              </w:rPr>
            </w:pPr>
          </w:p>
        </w:tc>
        <w:tc>
          <w:tcPr>
            <w:tcW w:w="1000" w:type="pct"/>
          </w:tcPr>
          <w:p w14:paraId="01802978" w14:textId="77777777" w:rsidR="008863B3" w:rsidRPr="00DB5E69" w:rsidRDefault="008863B3" w:rsidP="00DB5E69">
            <w:pPr>
              <w:spacing w:line="276" w:lineRule="auto"/>
              <w:rPr>
                <w:rFonts w:ascii="Arial" w:hAnsi="Arial" w:cs="Arial"/>
                <w:sz w:val="24"/>
                <w:szCs w:val="24"/>
              </w:rPr>
            </w:pPr>
          </w:p>
        </w:tc>
      </w:tr>
      <w:tr w:rsidR="008863B3" w:rsidRPr="00DB5E69" w14:paraId="6055892F" w14:textId="77777777">
        <w:tblPrEx>
          <w:tblCellMar>
            <w:top w:w="0" w:type="dxa"/>
            <w:bottom w:w="0" w:type="dxa"/>
          </w:tblCellMar>
        </w:tblPrEx>
        <w:tc>
          <w:tcPr>
            <w:tcW w:w="2500" w:type="pct"/>
          </w:tcPr>
          <w:p w14:paraId="64696B6A" w14:textId="77777777" w:rsidR="008863B3" w:rsidRPr="00DB5E69" w:rsidRDefault="00122C34" w:rsidP="00DB5E69">
            <w:pPr>
              <w:spacing w:line="276" w:lineRule="auto"/>
              <w:rPr>
                <w:rFonts w:ascii="Arial" w:hAnsi="Arial" w:cs="Arial"/>
                <w:sz w:val="24"/>
                <w:szCs w:val="24"/>
              </w:rPr>
            </w:pPr>
            <w:r w:rsidRPr="00DB5E69">
              <w:rPr>
                <w:rFonts w:ascii="Arial" w:hAnsi="Arial" w:cs="Arial"/>
                <w:sz w:val="24"/>
                <w:szCs w:val="24"/>
              </w:rPr>
              <w:t>Individual staff, where required, e.g. medical conditions, injury or pregnancy</w:t>
            </w:r>
          </w:p>
        </w:tc>
        <w:tc>
          <w:tcPr>
            <w:tcW w:w="600" w:type="pct"/>
          </w:tcPr>
          <w:p w14:paraId="3B4AB7BF" w14:textId="77777777" w:rsidR="008863B3" w:rsidRPr="00DB5E69" w:rsidRDefault="008863B3" w:rsidP="00DB5E69">
            <w:pPr>
              <w:spacing w:line="276" w:lineRule="auto"/>
              <w:rPr>
                <w:rFonts w:ascii="Arial" w:hAnsi="Arial" w:cs="Arial"/>
                <w:sz w:val="24"/>
                <w:szCs w:val="24"/>
              </w:rPr>
            </w:pPr>
          </w:p>
        </w:tc>
        <w:tc>
          <w:tcPr>
            <w:tcW w:w="900" w:type="pct"/>
          </w:tcPr>
          <w:p w14:paraId="3C77E5FD" w14:textId="77777777" w:rsidR="008863B3" w:rsidRPr="00DB5E69" w:rsidRDefault="008863B3" w:rsidP="00DB5E69">
            <w:pPr>
              <w:spacing w:line="276" w:lineRule="auto"/>
              <w:rPr>
                <w:rFonts w:ascii="Arial" w:hAnsi="Arial" w:cs="Arial"/>
                <w:sz w:val="24"/>
                <w:szCs w:val="24"/>
              </w:rPr>
            </w:pPr>
          </w:p>
        </w:tc>
        <w:tc>
          <w:tcPr>
            <w:tcW w:w="1000" w:type="pct"/>
          </w:tcPr>
          <w:p w14:paraId="5EBEFF50" w14:textId="77777777" w:rsidR="008863B3" w:rsidRPr="00DB5E69" w:rsidRDefault="008863B3" w:rsidP="00DB5E69">
            <w:pPr>
              <w:spacing w:line="276" w:lineRule="auto"/>
              <w:rPr>
                <w:rFonts w:ascii="Arial" w:hAnsi="Arial" w:cs="Arial"/>
                <w:sz w:val="24"/>
                <w:szCs w:val="24"/>
              </w:rPr>
            </w:pPr>
          </w:p>
        </w:tc>
      </w:tr>
    </w:tbl>
    <w:p w14:paraId="4C7CCA35" w14:textId="77777777" w:rsidR="00122C34" w:rsidRPr="00DB5E69" w:rsidRDefault="00122C34" w:rsidP="00DB5E69">
      <w:pPr>
        <w:spacing w:line="276" w:lineRule="auto"/>
        <w:rPr>
          <w:rFonts w:ascii="Arial" w:hAnsi="Arial" w:cs="Arial"/>
          <w:sz w:val="24"/>
          <w:szCs w:val="24"/>
        </w:rPr>
      </w:pPr>
    </w:p>
    <w:sectPr w:rsidR="00122C34" w:rsidRPr="00DB5E69">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A6DD0"/>
    <w:multiLevelType w:val="hybridMultilevel"/>
    <w:tmpl w:val="46B86FCC"/>
    <w:lvl w:ilvl="0" w:tplc="5672C02A">
      <w:start w:val="1"/>
      <w:numFmt w:val="bullet"/>
      <w:lvlText w:val="•"/>
      <w:lvlJc w:val="left"/>
      <w:pPr>
        <w:ind w:left="720" w:hanging="360"/>
      </w:pPr>
    </w:lvl>
    <w:lvl w:ilvl="1" w:tplc="8EFE1826">
      <w:start w:val="1"/>
      <w:numFmt w:val="bullet"/>
      <w:lvlText w:val="◦"/>
      <w:lvlJc w:val="left"/>
      <w:pPr>
        <w:ind w:left="1440" w:hanging="360"/>
      </w:pPr>
    </w:lvl>
    <w:lvl w:ilvl="2" w:tplc="E71240B6">
      <w:numFmt w:val="decimal"/>
      <w:lvlText w:val=""/>
      <w:lvlJc w:val="left"/>
    </w:lvl>
    <w:lvl w:ilvl="3" w:tplc="F15E4FEA">
      <w:numFmt w:val="decimal"/>
      <w:lvlText w:val=""/>
      <w:lvlJc w:val="left"/>
    </w:lvl>
    <w:lvl w:ilvl="4" w:tplc="59CA2BFA">
      <w:numFmt w:val="decimal"/>
      <w:lvlText w:val=""/>
      <w:lvlJc w:val="left"/>
    </w:lvl>
    <w:lvl w:ilvl="5" w:tplc="622C9696">
      <w:numFmt w:val="decimal"/>
      <w:lvlText w:val=""/>
      <w:lvlJc w:val="left"/>
    </w:lvl>
    <w:lvl w:ilvl="6" w:tplc="62EC6280">
      <w:numFmt w:val="decimal"/>
      <w:lvlText w:val=""/>
      <w:lvlJc w:val="left"/>
    </w:lvl>
    <w:lvl w:ilvl="7" w:tplc="5B8A29EA">
      <w:numFmt w:val="decimal"/>
      <w:lvlText w:val=""/>
      <w:lvlJc w:val="left"/>
    </w:lvl>
    <w:lvl w:ilvl="8" w:tplc="3AE01FA0">
      <w:numFmt w:val="decimal"/>
      <w:lvlText w:val=""/>
      <w:lvlJc w:val="left"/>
    </w:lvl>
  </w:abstractNum>
  <w:abstractNum w:abstractNumId="1" w15:restartNumberingAfterBreak="0">
    <w:nsid w:val="42FF77DE"/>
    <w:multiLevelType w:val="hybridMultilevel"/>
    <w:tmpl w:val="B346390C"/>
    <w:lvl w:ilvl="0" w:tplc="E0280246">
      <w:start w:val="1"/>
      <w:numFmt w:val="bullet"/>
      <w:lvlText w:val="●"/>
      <w:lvlJc w:val="left"/>
      <w:pPr>
        <w:ind w:left="720" w:hanging="360"/>
      </w:pPr>
    </w:lvl>
    <w:lvl w:ilvl="1" w:tplc="98A0CA10">
      <w:start w:val="1"/>
      <w:numFmt w:val="bullet"/>
      <w:lvlText w:val="○"/>
      <w:lvlJc w:val="left"/>
      <w:pPr>
        <w:ind w:left="1440" w:hanging="360"/>
      </w:pPr>
    </w:lvl>
    <w:lvl w:ilvl="2" w:tplc="767E2A1A">
      <w:start w:val="1"/>
      <w:numFmt w:val="bullet"/>
      <w:lvlText w:val="■"/>
      <w:lvlJc w:val="left"/>
      <w:pPr>
        <w:ind w:left="2160" w:hanging="360"/>
      </w:pPr>
    </w:lvl>
    <w:lvl w:ilvl="3" w:tplc="9B02412E">
      <w:start w:val="1"/>
      <w:numFmt w:val="bullet"/>
      <w:lvlText w:val="●"/>
      <w:lvlJc w:val="left"/>
      <w:pPr>
        <w:ind w:left="2880" w:hanging="360"/>
      </w:pPr>
    </w:lvl>
    <w:lvl w:ilvl="4" w:tplc="F74E2D50">
      <w:start w:val="1"/>
      <w:numFmt w:val="bullet"/>
      <w:lvlText w:val="○"/>
      <w:lvlJc w:val="left"/>
      <w:pPr>
        <w:ind w:left="3600" w:hanging="360"/>
      </w:pPr>
    </w:lvl>
    <w:lvl w:ilvl="5" w:tplc="99C47DB0">
      <w:start w:val="1"/>
      <w:numFmt w:val="bullet"/>
      <w:lvlText w:val="■"/>
      <w:lvlJc w:val="left"/>
      <w:pPr>
        <w:ind w:left="4320" w:hanging="360"/>
      </w:pPr>
    </w:lvl>
    <w:lvl w:ilvl="6" w:tplc="612C5670">
      <w:start w:val="1"/>
      <w:numFmt w:val="bullet"/>
      <w:lvlText w:val="●"/>
      <w:lvlJc w:val="left"/>
      <w:pPr>
        <w:ind w:left="5040" w:hanging="360"/>
      </w:pPr>
    </w:lvl>
    <w:lvl w:ilvl="7" w:tplc="84F29F18">
      <w:start w:val="1"/>
      <w:numFmt w:val="bullet"/>
      <w:lvlText w:val="●"/>
      <w:lvlJc w:val="left"/>
      <w:pPr>
        <w:ind w:left="5760" w:hanging="360"/>
      </w:pPr>
    </w:lvl>
    <w:lvl w:ilvl="8" w:tplc="EF1A5CC6">
      <w:start w:val="1"/>
      <w:numFmt w:val="bullet"/>
      <w:lvlText w:val="●"/>
      <w:lvlJc w:val="left"/>
      <w:pPr>
        <w:ind w:left="6480" w:hanging="360"/>
      </w:pPr>
    </w:lvl>
  </w:abstractNum>
  <w:num w:numId="1" w16cid:durableId="1162232647">
    <w:abstractNumId w:val="1"/>
    <w:lvlOverride w:ilvl="0">
      <w:startOverride w:val="1"/>
    </w:lvlOverride>
  </w:num>
  <w:num w:numId="2" w16cid:durableId="11603839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3B3"/>
    <w:rsid w:val="00122C34"/>
    <w:rsid w:val="002D2A1D"/>
    <w:rsid w:val="008863B3"/>
    <w:rsid w:val="00DB5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0CAD3"/>
  <w15:docId w15:val="{9D8C19E2-28FE-47DF-BEB7-7F770E3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B5E69"/>
    <w:pPr>
      <w:spacing w:after="100"/>
    </w:pPr>
  </w:style>
  <w:style w:type="paragraph" w:styleId="TOC2">
    <w:name w:val="toc 2"/>
    <w:basedOn w:val="Normal"/>
    <w:next w:val="Normal"/>
    <w:autoRedefine/>
    <w:uiPriority w:val="39"/>
    <w:unhideWhenUsed/>
    <w:rsid w:val="00DB5E6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CC30033D-4618-422B-9249-9D712E510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6C6EF-4B22-444C-A190-70C6958E2F43}">
  <ds:schemaRefs>
    <ds:schemaRef ds:uri="http://schemas.microsoft.com/sharepoint/v3/contenttype/forms"/>
  </ds:schemaRefs>
</ds:datastoreItem>
</file>

<file path=customXml/itemProps3.xml><?xml version="1.0" encoding="utf-8"?>
<ds:datastoreItem xmlns:ds="http://schemas.openxmlformats.org/officeDocument/2006/customXml" ds:itemID="{0EE45903-7DA7-402C-9D95-C1579EAFB0C8}">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3890</Words>
  <Characters>22177</Characters>
  <Application>Microsoft Office Word</Application>
  <DocSecurity>0</DocSecurity>
  <Lines>184</Lines>
  <Paragraphs>52</Paragraphs>
  <ScaleCrop>false</ScaleCrop>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2026-09-10T10:20:00Z</dcterms:created>
  <dcterms:modified xsi:type="dcterms:W3CDTF">2026-09-10T10:20:00Z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