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AD9F3" w14:textId="77777777" w:rsidR="00FA199A" w:rsidRDefault="00FA199A"/>
    <w:p w14:paraId="0F1827F5" w14:textId="77777777" w:rsidR="00FA199A" w:rsidRDefault="67C08506">
      <w:pPr>
        <w:jc w:val="center"/>
      </w:pPr>
      <w:r>
        <w:rPr>
          <w:rFonts w:ascii="Arial" w:hAnsi="Arial"/>
          <w:noProof/>
          <w:sz w:val="24"/>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2CC18BF7" w14:textId="77777777" w:rsidR="67C08506" w:rsidRDefault="67C08506" w:rsidP="67C08506">
      <w:pPr>
        <w:pStyle w:val="Title1"/>
      </w:pPr>
    </w:p>
    <w:p w14:paraId="182351C8" w14:textId="77777777" w:rsidR="717C5781" w:rsidRDefault="717C5781" w:rsidP="67C08506">
      <w:pPr>
        <w:pStyle w:val="Title1"/>
      </w:pPr>
      <w:r>
        <w:rPr>
          <w:rFonts w:ascii="Arial" w:hAnsi="Arial"/>
          <w:sz w:val="24"/>
        </w:rPr>
        <w:t>Dovecote School</w:t>
      </w:r>
    </w:p>
    <w:p w14:paraId="1E053156" w14:textId="77777777" w:rsidR="00FA199A" w:rsidRDefault="00FB14C9">
      <w:pPr>
        <w:pStyle w:val="Title1"/>
        <w:jc w:val="center"/>
      </w:pPr>
      <w:r>
        <w:rPr>
          <w:rFonts w:ascii="Arial" w:hAnsi="Arial" w:eastAsia="Arial"/>
          <w:b/>
          <w:sz w:val="44"/>
        </w:rPr>
        <w:t>DC013 - Suspensions and Permanent Exclusions Policy</w:t>
      </w:r>
    </w:p>
    <w:p w14:paraId="48427540" w14:textId="77777777" w:rsidR="00FA199A" w:rsidRDefault="00FA199A"/>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FA199A" w:rsidRPr="00CB3F1E" w14:paraId="71CA3DA3" w14:textId="77777777">
        <w:trPr>
          <w:cantSplit/>
        </w:trPr>
        <w:tc>
          <w:tcPr>
            <w:tcW w:w="3200" w:type="dxa"/>
            <w:shd w:val="clear" w:color="auto" w:fill="F2F2F2"/>
            <w:tcMar>
              <w:top w:w="80" w:type="dxa"/>
              <w:left w:w="100" w:type="dxa"/>
              <w:bottom w:w="80" w:type="dxa"/>
              <w:right w:w="100" w:type="dxa"/>
            </w:tcMar>
            <w:vAlign w:val="center"/>
          </w:tcPr>
          <w:p w14:paraId="3898FD41"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Responsible Person</w:t>
            </w:r>
          </w:p>
        </w:tc>
        <w:tc>
          <w:tcPr>
            <w:tcW w:w="5800" w:type="dxa"/>
            <w:tcMar>
              <w:top w:w="80" w:type="dxa"/>
              <w:left w:w="100" w:type="dxa"/>
              <w:bottom w:w="80" w:type="dxa"/>
              <w:right w:w="100" w:type="dxa"/>
            </w:tcMar>
            <w:vAlign w:val="center"/>
          </w:tcPr>
          <w:p w14:paraId="60387AC2"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Headteacher</w:t>
            </w:r>
          </w:p>
        </w:tc>
      </w:tr>
      <w:tr w:rsidR="00FA199A" w:rsidRPr="00CB3F1E" w14:paraId="1AE6C94E" w14:textId="77777777">
        <w:trPr>
          <w:cantSplit/>
        </w:trPr>
        <w:tc>
          <w:tcPr>
            <w:tcW w:w="3200" w:type="dxa"/>
            <w:shd w:val="clear" w:color="auto" w:fill="F2F2F2"/>
            <w:tcMar>
              <w:top w:w="80" w:type="dxa"/>
              <w:left w:w="100" w:type="dxa"/>
              <w:bottom w:w="80" w:type="dxa"/>
              <w:right w:w="100" w:type="dxa"/>
            </w:tcMar>
            <w:vAlign w:val="center"/>
          </w:tcPr>
          <w:p w14:paraId="76AB9C42"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Approved By</w:t>
            </w:r>
          </w:p>
        </w:tc>
        <w:tc>
          <w:tcPr>
            <w:tcW w:w="5800" w:type="dxa"/>
            <w:tcMar>
              <w:top w:w="80" w:type="dxa"/>
              <w:left w:w="100" w:type="dxa"/>
              <w:bottom w:w="80" w:type="dxa"/>
              <w:right w:w="100" w:type="dxa"/>
            </w:tcMar>
            <w:vAlign w:val="center"/>
          </w:tcPr>
          <w:p w14:paraId="30968E88"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Dovecote School Governance Body</w:t>
            </w:r>
          </w:p>
        </w:tc>
      </w:tr>
      <w:tr w:rsidR="00FA199A" w:rsidRPr="00CB3F1E" w14:paraId="3D7C5456" w14:textId="77777777">
        <w:trPr>
          <w:cantSplit/>
        </w:trPr>
        <w:tc>
          <w:tcPr>
            <w:tcW w:w="3200" w:type="dxa"/>
            <w:shd w:val="clear" w:color="auto" w:fill="F2F2F2"/>
            <w:tcMar>
              <w:top w:w="80" w:type="dxa"/>
              <w:left w:w="100" w:type="dxa"/>
              <w:bottom w:w="80" w:type="dxa"/>
              <w:right w:w="100" w:type="dxa"/>
            </w:tcMar>
            <w:vAlign w:val="center"/>
          </w:tcPr>
          <w:p w14:paraId="22C57D45"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Review Cycle</w:t>
            </w:r>
          </w:p>
        </w:tc>
        <w:tc>
          <w:tcPr>
            <w:tcW w:w="5800" w:type="dxa"/>
            <w:tcMar>
              <w:top w:w="80" w:type="dxa"/>
              <w:left w:w="100" w:type="dxa"/>
              <w:bottom w:w="80" w:type="dxa"/>
              <w:right w:w="100" w:type="dxa"/>
            </w:tcMar>
            <w:vAlign w:val="center"/>
          </w:tcPr>
          <w:p w14:paraId="0D6381EF"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Annual</w:t>
            </w:r>
          </w:p>
        </w:tc>
      </w:tr>
      <w:tr w:rsidR="00FA199A" w:rsidRPr="00CB3F1E" w14:paraId="49841706" w14:textId="77777777">
        <w:trPr>
          <w:cantSplit/>
        </w:trPr>
        <w:tc>
          <w:tcPr>
            <w:tcW w:w="3200" w:type="dxa"/>
            <w:shd w:val="clear" w:color="auto" w:fill="F2F2F2"/>
            <w:tcMar>
              <w:top w:w="80" w:type="dxa"/>
              <w:left w:w="100" w:type="dxa"/>
              <w:bottom w:w="80" w:type="dxa"/>
              <w:right w:w="100" w:type="dxa"/>
            </w:tcMar>
            <w:vAlign w:val="center"/>
          </w:tcPr>
          <w:p w14:paraId="65BC4F04"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Last Review Date</w:t>
            </w:r>
          </w:p>
        </w:tc>
        <w:tc>
          <w:tcPr>
            <w:tcW w:w="5800" w:type="dxa"/>
            <w:tcMar>
              <w:top w:w="80" w:type="dxa"/>
              <w:left w:w="100" w:type="dxa"/>
              <w:bottom w:w="80" w:type="dxa"/>
              <w:right w:w="100" w:type="dxa"/>
            </w:tcMar>
            <w:vAlign w:val="center"/>
          </w:tcPr>
          <w:p>
            <w:pPr>
              <w:spacing w:line="240" w:lineRule="auto" w:after="0"/>
            </w:pPr>
            <w:r>
              <w:rPr>
                <w:rFonts w:ascii="Arial" w:hAnsi="Arial" w:eastAsia="Arial"/>
                <w:b w:val="0"/>
                <w:sz w:val="24"/>
              </w:rPr>
              <w:t>29 September 2026</w:t>
            </w:r>
          </w:p>
        </w:tc>
      </w:tr>
      <w:tr w:rsidR="00FA199A" w:rsidRPr="00CB3F1E" w14:paraId="78023E1E" w14:textId="77777777">
        <w:trPr>
          <w:cantSplit/>
        </w:trPr>
        <w:tc>
          <w:tcPr>
            <w:tcW w:w="3200" w:type="dxa"/>
            <w:shd w:val="clear" w:color="auto" w:fill="F2F2F2"/>
            <w:tcMar>
              <w:top w:w="80" w:type="dxa"/>
              <w:left w:w="100" w:type="dxa"/>
              <w:bottom w:w="80" w:type="dxa"/>
              <w:right w:w="100" w:type="dxa"/>
            </w:tcMar>
            <w:vAlign w:val="center"/>
          </w:tcPr>
          <w:p w14:paraId="6B742EB9"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Next Review Date</w:t>
            </w:r>
          </w:p>
        </w:tc>
        <w:tc>
          <w:tcPr>
            <w:tcW w:w="5800" w:type="dxa"/>
            <w:tcMar>
              <w:top w:w="80" w:type="dxa"/>
              <w:left w:w="100" w:type="dxa"/>
              <w:bottom w:w="80" w:type="dxa"/>
              <w:right w:w="100" w:type="dxa"/>
            </w:tcMar>
            <w:vAlign w:val="center"/>
          </w:tcPr>
          <w:p>
            <w:pPr>
              <w:spacing w:line="240" w:lineRule="auto" w:after="0"/>
            </w:pPr>
            <w:r>
              <w:rPr>
                <w:rFonts w:ascii="Arial" w:hAnsi="Arial" w:eastAsia="Arial"/>
                <w:b w:val="0"/>
                <w:sz w:val="24"/>
              </w:rPr>
              <w:t>10 August 2027</w:t>
            </w:r>
          </w:p>
        </w:tc>
      </w:tr>
    </w:tbl>
    <w:p w14:paraId="0915EFE6" w14:textId="77777777" w:rsidR="00FA199A" w:rsidRDefault="00FB14C9">
      <w:r>
        <w:rPr>
          <w:rFonts w:ascii="Arial" w:hAnsi="Arial"/>
          <w:sz w:val="24"/>
        </w:rPr>
        <w:br w:type="page"/>
      </w:r>
    </w:p>
    <w:p w14:paraId="29A10CB8"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lastRenderedPageBreak/>
        <w:t>Dovecote School is owned and operated by Cavendish Education.</w:t>
      </w:r>
    </w:p>
    <w:p w14:paraId="2271B13B" w14:textId="77777777" w:rsidR="00FA199A" w:rsidRPr="00CB3F1E" w:rsidRDefault="00FA199A" w:rsidP="00CB3F1E">
      <w:pPr>
        <w:spacing w:line="276" w:lineRule="auto"/>
        <w:rPr>
          <w:rFonts w:ascii="Arial" w:hAnsi="Arial"/>
          <w:sz w:val="24"/>
          <w:szCs w:val="24"/>
        </w:rPr>
      </w:pPr>
    </w:p>
    <w:p w14:paraId="7EA8FBB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CB3F1E">
        <w:rPr>
          <w:rFonts w:ascii="Arial" w:hAnsi="Arial"/>
          <w:sz w:val="24"/>
          <w:szCs w:val="24"/>
        </w:rPr>
        <w:t>In particular it</w:t>
      </w:r>
      <w:proofErr w:type="gramEnd"/>
      <w:r w:rsidRPr="00CB3F1E">
        <w:rPr>
          <w:rFonts w:ascii="Arial" w:hAnsi="Arial"/>
          <w:sz w:val="24"/>
          <w:szCs w:val="24"/>
        </w:rPr>
        <w:t xml:space="preserve"> should be read in conjunction with the policies covering equality and diversity, Health and Safety, safeguarding and child protection.</w:t>
      </w:r>
    </w:p>
    <w:p w14:paraId="33CDD980" w14:textId="77777777" w:rsidR="00FA199A" w:rsidRPr="00CB3F1E" w:rsidRDefault="00FB14C9" w:rsidP="00CB3F1E">
      <w:pPr>
        <w:spacing w:line="276" w:lineRule="auto"/>
        <w:rPr>
          <w:rFonts w:ascii="Arial" w:hAnsi="Arial"/>
          <w:sz w:val="24"/>
          <w:szCs w:val="24"/>
        </w:rPr>
      </w:pPr>
      <w:proofErr w:type="gramStart"/>
      <w:r w:rsidRPr="00CB3F1E">
        <w:rPr>
          <w:rFonts w:ascii="Arial" w:hAnsi="Arial"/>
          <w:sz w:val="24"/>
          <w:szCs w:val="24"/>
        </w:rPr>
        <w:t>All of</w:t>
      </w:r>
      <w:proofErr w:type="gramEnd"/>
      <w:r w:rsidRPr="00CB3F1E">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7B1DCF8D"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While this current policy document may be referred to elsewhere in Dovecote School documentation, including particulars of employment, it is non-contractual.</w:t>
      </w:r>
    </w:p>
    <w:p w14:paraId="41B03C13"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20FD7574"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all biological parents, whether they are married or not</w:t>
      </w:r>
    </w:p>
    <w:p w14:paraId="368FA0BC"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 xml:space="preserve">any person who, although not a biological parent, has parental responsibility for a child or young person - this could be an adoptive parent, a </w:t>
      </w:r>
      <w:proofErr w:type="gramStart"/>
      <w:r w:rsidRPr="00CB3F1E">
        <w:rPr>
          <w:rFonts w:ascii="Arial" w:hAnsi="Arial"/>
          <w:sz w:val="24"/>
          <w:szCs w:val="24"/>
        </w:rPr>
        <w:t>step-parent</w:t>
      </w:r>
      <w:proofErr w:type="gramEnd"/>
      <w:r w:rsidRPr="00CB3F1E">
        <w:rPr>
          <w:rFonts w:ascii="Arial" w:hAnsi="Arial"/>
          <w:sz w:val="24"/>
          <w:szCs w:val="24"/>
        </w:rPr>
        <w:t>, guardian or other relative</w:t>
      </w:r>
    </w:p>
    <w:p w14:paraId="3F160B9D"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any person who, although not a biological parent and does not have parental responsibility, has care of a child or young person</w:t>
      </w:r>
    </w:p>
    <w:p w14:paraId="4BC84C2B"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5E1EE80F"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The school employs the services of the following consulting companies to ensure regulatory compliance and the implementation of best practice:</w:t>
      </w:r>
    </w:p>
    <w:p w14:paraId="62B96A81"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WorkNest (HR &amp; employment law)</w:t>
      </w:r>
    </w:p>
    <w:p w14:paraId="7E37B5A5"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SchoolPro TLC (data protection)</w:t>
      </w:r>
    </w:p>
    <w:p w14:paraId="3A407287"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iAmCompliant (compliance management)</w:t>
      </w:r>
    </w:p>
    <w:p w14:paraId="55767AFC"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For the purposes of this policy, references to staff include employees, workers, agency personnel, volunteers and contractors where relevant.</w:t>
      </w:r>
    </w:p>
    <w:p w14:paraId="3D58FC80"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Dovecote School is committed to safeguarding and promoting the welfare of children and young people and expects all staff, volunteers, pupils and visitors to share this commitment.</w:t>
      </w:r>
    </w:p>
    <w:p w14:paraId="19DB8402"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All outcomes generated by this document must take account of and seek to contribute to safeguarding and promoting the welfare of children and young people at Dovecote School.</w:t>
      </w:r>
    </w:p>
    <w:p w14:paraId="1563FB7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37B31405"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br w:type="page"/>
      </w:r>
    </w:p>
    <w:p w14:paraId="6C13CD18" w14:textId="77777777" w:rsidR="00FA199A" w:rsidRPr="00CB3F1E" w:rsidRDefault="00FB14C9" w:rsidP="00CB3F1E">
      <w:pPr>
        <w:pStyle w:val="Heading1"/>
        <w:spacing w:line="276" w:lineRule="auto"/>
        <w:rPr>
          <w:rFonts w:ascii="Arial" w:hAnsi="Arial" w:cs="Arial"/>
          <w:szCs w:val="24"/>
        </w:rPr>
      </w:pPr>
      <w:r w:rsidRPr="00CB3F1E">
        <w:rPr>
          <w:rFonts w:ascii="Arial" w:hAnsi="Arial" w:cs="Arial"/>
          <w:sz w:val="24"/>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FA199A" w:rsidRPr="00CB3F1E" w14:paraId="59275A32" w14:textId="77777777">
        <w:trPr>
          <w:cantSplit/>
          <w:cantSplit/>
        </w:trPr>
        <w:tc>
          <w:tcPr>
            <w:tcW w:w="1200" w:type="dxa"/>
            <w:shd w:val="clear" w:color="auto" w:fill="D9EAF7"/>
            <w:tcMar>
              <w:top w:w="80" w:type="dxa"/>
              <w:left w:w="100" w:type="dxa"/>
              <w:bottom w:w="80" w:type="dxa"/>
              <w:right w:w="100" w:type="dxa"/>
            </w:tcMar>
            <w:vAlign w:val="center"/>
          </w:tcPr>
          <w:p w14:paraId="4EB00449"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Version</w:t>
            </w:r>
          </w:p>
        </w:tc>
        <w:tc>
          <w:tcPr>
            <w:tcW w:w="1800" w:type="dxa"/>
            <w:shd w:val="clear" w:color="auto" w:fill="D9EAF7"/>
            <w:tcMar>
              <w:top w:w="80" w:type="dxa"/>
              <w:left w:w="100" w:type="dxa"/>
              <w:bottom w:w="80" w:type="dxa"/>
              <w:right w:w="100" w:type="dxa"/>
            </w:tcMar>
            <w:vAlign w:val="center"/>
          </w:tcPr>
          <w:p w14:paraId="51A13405"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Date</w:t>
            </w:r>
          </w:p>
        </w:tc>
        <w:tc>
          <w:tcPr>
            <w:tcW w:w="6000" w:type="dxa"/>
            <w:shd w:val="clear" w:color="auto" w:fill="D9EAF7"/>
            <w:tcMar>
              <w:top w:w="80" w:type="dxa"/>
              <w:left w:w="100" w:type="dxa"/>
              <w:bottom w:w="80" w:type="dxa"/>
              <w:right w:w="100" w:type="dxa"/>
            </w:tcMar>
            <w:vAlign w:val="center"/>
          </w:tcPr>
          <w:p w14:paraId="305572F1"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Description of changes and person/organisation responsible</w:t>
            </w:r>
          </w:p>
        </w:tc>
      </w:tr>
      <w:tr w:rsidR="00FA199A" w:rsidRPr="00CB3F1E" w14:paraId="03D949EB" w14:textId="77777777">
        <w:trPr>
          <w:cantSplit/>
          <w:cantSplit/>
        </w:trPr>
        <w:tc>
          <w:tcPr>
            <w:tcW w:w="1200" w:type="dxa"/>
            <w:tcMar>
              <w:top w:w="80" w:type="dxa"/>
              <w:left w:w="100" w:type="dxa"/>
              <w:bottom w:w="80" w:type="dxa"/>
              <w:right w:w="100" w:type="dxa"/>
            </w:tcMar>
            <w:vAlign w:val="center"/>
          </w:tcPr>
          <w:p w14:paraId="55BC176A"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2.0</w:t>
            </w:r>
          </w:p>
        </w:tc>
        <w:tc>
          <w:tcPr>
            <w:tcW w:w="1800" w:type="dxa"/>
            <w:tcMar>
              <w:top w:w="80" w:type="dxa"/>
              <w:left w:w="100" w:type="dxa"/>
              <w:bottom w:w="80" w:type="dxa"/>
              <w:right w:w="100" w:type="dxa"/>
            </w:tcMar>
            <w:vAlign w:val="center"/>
          </w:tcPr>
          <w:p w14:paraId="2BDB22E3"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10 August 2026</w:t>
            </w:r>
          </w:p>
        </w:tc>
        <w:tc>
          <w:tcPr>
            <w:tcW w:w="6000" w:type="dxa"/>
            <w:tcMar>
              <w:top w:w="80" w:type="dxa"/>
              <w:left w:w="100" w:type="dxa"/>
              <w:bottom w:w="80" w:type="dxa"/>
              <w:right w:w="100" w:type="dxa"/>
            </w:tcMar>
            <w:vAlign w:val="center"/>
          </w:tcPr>
          <w:p w14:paraId="10D62F17" w14:textId="77777777" w:rsidR="00FA199A" w:rsidRPr="00CB3F1E" w:rsidRDefault="00FB14C9" w:rsidP="00CB3F1E">
            <w:pPr>
              <w:spacing w:line="240" w:lineRule="auto" w:after="0"/>
              <w:rPr>
                <w:rFonts w:ascii="Arial" w:hAnsi="Arial"/>
                <w:sz w:val="24"/>
                <w:szCs w:val="24"/>
              </w:rPr>
            </w:pPr>
            <w:r w:rsidRPr="00CB3F1E">
              <w:rPr>
                <w:rFonts w:ascii="Arial" w:hAnsi="Arial" w:eastAsia="Arial"/>
                <w:b w:val="0"/>
                <w:sz w:val="24"/>
                <w:szCs w:val="24"/>
              </w:rPr>
              <w:t>Annual review. Renumbered as DC013 and transferred to the Dovecote School master policy template. Existing Dovecote Exclusion Policy retained as the substantive base. Updated for the independent-school legal framework, Equality Act 2010, current DfE guidance, KCSIE 2026, SEND/EHC plan considerations, off-rolling expectations and Dovecote governance arrangements. Responsible: Headteacher.</w:t>
            </w:r>
          </w:p>
        </w:tc>
      </w:tr>
      <w:tr>
        <w:trPr>
          <w:cantSplit/>
        </w:trPr>
        <w:tc>
          <w:tcPr>
            <w:tcW w:type="dxa" w:w="1200"/>
          </w:tcPr>
          <w:p>
            <w:pPr>
              <w:spacing w:line="240" w:lineRule="auto" w:after="0"/>
            </w:pPr>
            <w:r>
              <w:rPr>
                <w:rFonts w:ascii="Arial" w:hAnsi="Arial" w:eastAsia="Arial"/>
                <w:b w:val="0"/>
                <w:sz w:val="24"/>
              </w:rPr>
              <w:t>2.1</w:t>
            </w:r>
          </w:p>
        </w:tc>
        <w:tc>
          <w:tcPr>
            <w:tcW w:type="dxa" w:w="1800"/>
          </w:tcPr>
          <w:p>
            <w:pPr>
              <w:spacing w:line="240" w:lineRule="auto" w:after="0"/>
            </w:pPr>
            <w:r>
              <w:rPr>
                <w:rFonts w:ascii="Arial" w:hAnsi="Arial" w:eastAsia="Arial"/>
                <w:b w:val="0"/>
                <w:sz w:val="24"/>
              </w:rPr>
              <w:t>29 September 2026</w:t>
            </w:r>
          </w:p>
        </w:tc>
        <w:tc>
          <w:tcPr>
            <w:tcW w:type="dxa" w:w="6000"/>
          </w:tcPr>
          <w:p>
            <w:pPr>
              <w:spacing w:line="240" w:lineRule="auto" w:after="0"/>
            </w:pPr>
            <w:r>
              <w:rPr>
                <w:rFonts w:ascii="Arial" w:hAnsi="Arial" w:eastAsia="Arial"/>
                <w:b w:val="0"/>
                <w:sz w:val="24"/>
              </w:rPr>
              <w:t>Targeted review against Cavendish Education Suspensions and Exclusions Policy V1.1. Added definitions, safeguarding separation, defined suspension periods, Cavendish reporting, strengthened internal review arrangements, pupil-registration requirements, termly monitoring, decision checklist and letter templates. Maintained the legal framework applicable to an independent special school. Responsible: Headteacher.</w:t>
            </w:r>
          </w:p>
        </w:tc>
      </w:tr>
    </w:tbl>
    <w:p w14:paraId="41F57791"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br w:type="page"/>
      </w:r>
    </w:p>
    <w:p w14:paraId="00F8BC30" w14:textId="77777777" w:rsidR="00FA199A" w:rsidRPr="00CB3F1E" w:rsidRDefault="00FB14C9" w:rsidP="00CB3F1E">
      <w:pPr>
        <w:pStyle w:val="Heading1"/>
        <w:spacing w:line="276" w:lineRule="auto"/>
        <w:rPr>
          <w:rFonts w:ascii="Arial" w:hAnsi="Arial" w:cs="Arial"/>
          <w:szCs w:val="24"/>
        </w:rPr>
      </w:pPr>
      <w:r w:rsidRPr="00CB3F1E">
        <w:rPr>
          <w:rFonts w:ascii="Arial" w:hAnsi="Arial" w:cs="Arial"/>
          <w:sz w:val="24"/>
          <w:szCs w:val="24"/>
        </w:rPr>
        <w:lastRenderedPageBreak/>
        <w:t>Contents</w:t>
      </w:r>
    </w:p>
    <w:tbl>
      <w:tblPr>
        <w:tblStyle w:val="TableGrid"/>
        <w:tblW w:w="0" w:type="auto"/>
        <w:jc w:val="center"/>
        <w:tblLook w:val="04A0" w:firstRow="1" w:lastRow="0" w:firstColumn="1" w:lastColumn="0" w:noHBand="0" w:noVBand="1"/>
      </w:tblPr>
      <w:tblGrid>
        <w:gridCol w:w="4812"/>
        <w:gridCol w:w="1704"/>
      </w:tblGrid>
      <w:tr w:rsidR="00FA199A" w:rsidRPr="00CB3F1E" w14:paraId="240BA055" w14:textId="77777777" w:rsidTr="00CB3F1E">
        <w:trPr>
          <w:cantSplit/>
          <w:tblHeader/>
          <w:jc w:val="center"/>
        </w:trPr>
        <w:tc>
          <w:tcPr>
            <w:tcW w:w="4812" w:type="dxa"/>
            <w:shd w:val="clear" w:color="auto" w:fill="D9EAF7"/>
            <w:tcMar>
              <w:top w:w="80" w:type="dxa"/>
              <w:left w:w="100" w:type="dxa"/>
              <w:bottom w:w="80" w:type="dxa"/>
              <w:right w:w="100" w:type="dxa"/>
            </w:tcMar>
            <w:vAlign w:val="center"/>
          </w:tcPr>
          <w:p w14:paraId="61582DFD" w14:textId="77777777" w:rsidR="00FA199A" w:rsidRPr="00CB3F1E" w:rsidRDefault="00FB14C9" w:rsidP="00CB3F1E">
            <w:pPr>
              <w:spacing w:line="276" w:lineRule="auto"/>
              <w:rPr>
                <w:rFonts w:ascii="Arial" w:hAnsi="Arial"/>
                <w:sz w:val="24"/>
                <w:szCs w:val="24"/>
              </w:rPr>
            </w:pPr>
            <w:r w:rsidRPr="00CB3F1E">
              <w:rPr>
                <w:rFonts w:ascii="Arial" w:hAnsi="Arial" w:eastAsia="Arial"/>
                <w:b/>
                <w:sz w:val="24"/>
                <w:szCs w:val="24"/>
              </w:rPr>
              <w:t>Section</w:t>
            </w:r>
          </w:p>
        </w:tc>
        <w:tc>
          <w:tcPr>
            <w:tcW w:w="1704" w:type="dxa"/>
            <w:shd w:val="clear" w:color="auto" w:fill="D9EAF7"/>
            <w:tcMar>
              <w:top w:w="80" w:type="dxa"/>
              <w:left w:w="100" w:type="dxa"/>
              <w:bottom w:w="80" w:type="dxa"/>
              <w:right w:w="100" w:type="dxa"/>
            </w:tcMar>
            <w:vAlign w:val="center"/>
          </w:tcPr>
          <w:p w14:paraId="0EE937BA" w14:textId="77777777" w:rsidR="00FA199A" w:rsidRPr="00CB3F1E" w:rsidRDefault="00FB14C9" w:rsidP="00CB3F1E">
            <w:pPr>
              <w:spacing w:line="276" w:lineRule="auto"/>
              <w:rPr>
                <w:rFonts w:ascii="Arial" w:hAnsi="Arial"/>
                <w:sz w:val="24"/>
                <w:szCs w:val="24"/>
              </w:rPr>
            </w:pPr>
            <w:r w:rsidRPr="00CB3F1E">
              <w:rPr>
                <w:rFonts w:ascii="Arial" w:hAnsi="Arial" w:eastAsia="Arial"/>
                <w:b/>
                <w:sz w:val="24"/>
                <w:szCs w:val="24"/>
              </w:rPr>
              <w:t>Page</w:t>
            </w:r>
          </w:p>
        </w:tc>
      </w:tr>
      <w:tr>
        <w:trPr>
          <w:cantSplit/>
        </w:trPr>
        <w:tc>
          <w:tcPr>
            <w:tcW w:type="dxa" w:w="4812"/>
          </w:tcPr>
          <w:p>
            <w:pPr>
              <w:spacing w:line="240" w:lineRule="auto" w:after="0"/>
            </w:pPr>
            <w:r>
              <w:rPr>
                <w:rFonts w:ascii="Arial" w:hAnsi="Arial" w:eastAsia="Arial"/>
                <w:sz w:val="24"/>
              </w:rPr>
              <w:t>Statement of Intent</w:t>
            </w:r>
          </w:p>
        </w:tc>
        <w:tc>
          <w:tcPr>
            <w:tcW w:type="dxa" w:w="1704"/>
          </w:tcPr>
          <w:p>
            <w:pPr>
              <w:spacing w:line="240" w:lineRule="auto" w:after="0"/>
            </w:pPr>
            <w:r>
              <w:rPr>
                <w:rFonts w:ascii="Arial" w:hAnsi="Arial"/>
                <w:sz w:val="24"/>
              </w:rPr>
              <w:t>6</w:t>
            </w:r>
          </w:p>
        </w:tc>
      </w:tr>
      <w:tr>
        <w:trPr>
          <w:cantSplit/>
        </w:trPr>
        <w:tc>
          <w:tcPr>
            <w:tcW w:type="dxa" w:w="4812"/>
          </w:tcPr>
          <w:p>
            <w:pPr>
              <w:spacing w:line="240" w:lineRule="auto" w:after="0"/>
            </w:pPr>
            <w:r>
              <w:rPr>
                <w:rFonts w:ascii="Arial" w:hAnsi="Arial" w:eastAsia="Arial"/>
                <w:sz w:val="24"/>
              </w:rPr>
              <w:t>1. Legal Framework</w:t>
            </w:r>
          </w:p>
        </w:tc>
        <w:tc>
          <w:tcPr>
            <w:tcW w:type="dxa" w:w="1704"/>
          </w:tcPr>
          <w:p>
            <w:pPr>
              <w:spacing w:line="240" w:lineRule="auto" w:after="0"/>
            </w:pPr>
            <w:r>
              <w:rPr>
                <w:rFonts w:ascii="Arial" w:hAnsi="Arial"/>
                <w:sz w:val="24"/>
              </w:rPr>
              <w:t>6</w:t>
            </w:r>
          </w:p>
        </w:tc>
      </w:tr>
      <w:tr>
        <w:trPr>
          <w:cantSplit/>
        </w:trPr>
        <w:tc>
          <w:tcPr>
            <w:tcW w:type="dxa" w:w="4812"/>
          </w:tcPr>
          <w:p>
            <w:pPr>
              <w:spacing w:line="240" w:lineRule="auto" w:after="0"/>
            </w:pPr>
            <w:r>
              <w:rPr>
                <w:rFonts w:ascii="Arial" w:hAnsi="Arial" w:eastAsia="Arial"/>
                <w:sz w:val="24"/>
              </w:rPr>
              <w:t>1.1 Key Definitions</w:t>
            </w:r>
          </w:p>
        </w:tc>
        <w:tc>
          <w:tcPr>
            <w:tcW w:type="dxa" w:w="1704"/>
          </w:tcPr>
          <w:p>
            <w:pPr>
              <w:spacing w:line="240" w:lineRule="auto" w:after="0"/>
            </w:pPr>
            <w:r>
              <w:rPr>
                <w:rFonts w:ascii="Arial" w:hAnsi="Arial"/>
                <w:sz w:val="24"/>
              </w:rPr>
              <w:t>7</w:t>
            </w:r>
          </w:p>
        </w:tc>
      </w:tr>
      <w:tr>
        <w:trPr>
          <w:cantSplit/>
        </w:trPr>
        <w:tc>
          <w:tcPr>
            <w:tcW w:type="dxa" w:w="4812"/>
          </w:tcPr>
          <w:p>
            <w:pPr>
              <w:spacing w:line="240" w:lineRule="auto" w:after="0"/>
            </w:pPr>
            <w:r>
              <w:rPr>
                <w:rFonts w:ascii="Arial" w:hAnsi="Arial" w:eastAsia="Arial"/>
                <w:sz w:val="24"/>
              </w:rPr>
              <w:t>2. Roles and Responsibilities</w:t>
            </w:r>
          </w:p>
        </w:tc>
        <w:tc>
          <w:tcPr>
            <w:tcW w:type="dxa" w:w="1704"/>
          </w:tcPr>
          <w:p>
            <w:pPr>
              <w:spacing w:line="240" w:lineRule="auto" w:after="0"/>
            </w:pPr>
            <w:r>
              <w:rPr>
                <w:rFonts w:ascii="Arial" w:hAnsi="Arial"/>
                <w:sz w:val="24"/>
              </w:rPr>
              <w:t>7</w:t>
            </w:r>
          </w:p>
        </w:tc>
      </w:tr>
      <w:tr>
        <w:trPr>
          <w:cantSplit/>
        </w:trPr>
        <w:tc>
          <w:tcPr>
            <w:tcW w:type="dxa" w:w="4812"/>
          </w:tcPr>
          <w:p>
            <w:pPr>
              <w:spacing w:line="240" w:lineRule="auto" w:after="0"/>
            </w:pPr>
            <w:r>
              <w:rPr>
                <w:rFonts w:ascii="Arial" w:hAnsi="Arial" w:eastAsia="Arial"/>
                <w:sz w:val="24"/>
              </w:rPr>
              <w:t>3. Grounds for Suspension or Permanent Exclusion</w:t>
            </w:r>
          </w:p>
        </w:tc>
        <w:tc>
          <w:tcPr>
            <w:tcW w:type="dxa" w:w="1704"/>
          </w:tcPr>
          <w:p>
            <w:pPr>
              <w:spacing w:line="240" w:lineRule="auto" w:after="0"/>
            </w:pPr>
            <w:r>
              <w:rPr>
                <w:rFonts w:ascii="Arial" w:hAnsi="Arial"/>
                <w:sz w:val="24"/>
              </w:rPr>
              <w:t>8</w:t>
            </w:r>
          </w:p>
        </w:tc>
      </w:tr>
      <w:tr>
        <w:trPr>
          <w:cantSplit/>
        </w:trPr>
        <w:tc>
          <w:tcPr>
            <w:tcW w:type="dxa" w:w="4812"/>
          </w:tcPr>
          <w:p>
            <w:pPr>
              <w:spacing w:line="240" w:lineRule="auto" w:after="0"/>
            </w:pPr>
            <w:r>
              <w:rPr>
                <w:rFonts w:ascii="Arial" w:hAnsi="Arial" w:eastAsia="Arial"/>
                <w:sz w:val="24"/>
              </w:rPr>
              <w:t>4. The Headteacher's Power to Suspend or Permanently Exclude</w:t>
            </w:r>
          </w:p>
        </w:tc>
        <w:tc>
          <w:tcPr>
            <w:tcW w:type="dxa" w:w="1704"/>
          </w:tcPr>
          <w:p>
            <w:pPr>
              <w:spacing w:line="240" w:lineRule="auto" w:after="0"/>
            </w:pPr>
            <w:r>
              <w:rPr>
                <w:rFonts w:ascii="Arial" w:hAnsi="Arial"/>
                <w:sz w:val="24"/>
              </w:rPr>
              <w:t>9</w:t>
            </w:r>
          </w:p>
        </w:tc>
      </w:tr>
      <w:tr>
        <w:trPr>
          <w:cantSplit/>
        </w:trPr>
        <w:tc>
          <w:tcPr>
            <w:tcW w:type="dxa" w:w="4812"/>
          </w:tcPr>
          <w:p>
            <w:pPr>
              <w:spacing w:line="240" w:lineRule="auto" w:after="0"/>
            </w:pPr>
            <w:r>
              <w:rPr>
                <w:rFonts w:ascii="Arial" w:hAnsi="Arial" w:eastAsia="Arial"/>
                <w:sz w:val="24"/>
              </w:rPr>
              <w:t>5. Factors to Consider When Suspending or Excluding a Student</w:t>
            </w:r>
          </w:p>
        </w:tc>
        <w:tc>
          <w:tcPr>
            <w:tcW w:type="dxa" w:w="1704"/>
          </w:tcPr>
          <w:p>
            <w:pPr>
              <w:spacing w:line="240" w:lineRule="auto" w:after="0"/>
            </w:pPr>
            <w:r>
              <w:rPr>
                <w:rFonts w:ascii="Arial" w:hAnsi="Arial"/>
                <w:sz w:val="24"/>
              </w:rPr>
              <w:t>10</w:t>
            </w:r>
          </w:p>
        </w:tc>
      </w:tr>
      <w:tr>
        <w:trPr>
          <w:cantSplit/>
        </w:trPr>
        <w:tc>
          <w:tcPr>
            <w:tcW w:type="dxa" w:w="4812"/>
          </w:tcPr>
          <w:p>
            <w:pPr>
              <w:spacing w:line="240" w:lineRule="auto" w:after="0"/>
            </w:pPr>
            <w:r>
              <w:rPr>
                <w:rFonts w:ascii="Arial" w:hAnsi="Arial" w:eastAsia="Arial"/>
                <w:sz w:val="24"/>
              </w:rPr>
              <w:t>6. Duty to Inform Parents</w:t>
            </w:r>
          </w:p>
        </w:tc>
        <w:tc>
          <w:tcPr>
            <w:tcW w:type="dxa" w:w="1704"/>
          </w:tcPr>
          <w:p>
            <w:pPr>
              <w:spacing w:line="240" w:lineRule="auto" w:after="0"/>
            </w:pPr>
            <w:r>
              <w:rPr>
                <w:rFonts w:ascii="Arial" w:hAnsi="Arial"/>
                <w:sz w:val="24"/>
              </w:rPr>
              <w:t>10</w:t>
            </w:r>
          </w:p>
        </w:tc>
      </w:tr>
      <w:tr>
        <w:trPr>
          <w:cantSplit/>
        </w:trPr>
        <w:tc>
          <w:tcPr>
            <w:tcW w:type="dxa" w:w="4812"/>
          </w:tcPr>
          <w:p>
            <w:pPr>
              <w:spacing w:line="240" w:lineRule="auto" w:after="0"/>
            </w:pPr>
            <w:r>
              <w:rPr>
                <w:rFonts w:ascii="Arial" w:hAnsi="Arial" w:eastAsia="Arial"/>
                <w:sz w:val="24"/>
              </w:rPr>
              <w:t>7. Disciplinary Meeting</w:t>
            </w:r>
          </w:p>
        </w:tc>
        <w:tc>
          <w:tcPr>
            <w:tcW w:type="dxa" w:w="1704"/>
          </w:tcPr>
          <w:p>
            <w:pPr>
              <w:spacing w:line="240" w:lineRule="auto" w:after="0"/>
            </w:pPr>
            <w:r>
              <w:rPr>
                <w:rFonts w:ascii="Arial" w:hAnsi="Arial"/>
                <w:sz w:val="24"/>
              </w:rPr>
              <w:t>11</w:t>
            </w:r>
          </w:p>
        </w:tc>
      </w:tr>
      <w:tr>
        <w:trPr>
          <w:cantSplit/>
        </w:trPr>
        <w:tc>
          <w:tcPr>
            <w:tcW w:type="dxa" w:w="4812"/>
          </w:tcPr>
          <w:p>
            <w:pPr>
              <w:spacing w:line="240" w:lineRule="auto" w:after="0"/>
            </w:pPr>
            <w:r>
              <w:rPr>
                <w:rFonts w:ascii="Arial" w:hAnsi="Arial" w:eastAsia="Arial"/>
                <w:sz w:val="24"/>
              </w:rPr>
              <w:t>8. Reviewing Suspensions and Permanent Exclusions</w:t>
            </w:r>
          </w:p>
        </w:tc>
        <w:tc>
          <w:tcPr>
            <w:tcW w:type="dxa" w:w="1704"/>
          </w:tcPr>
          <w:p>
            <w:pPr>
              <w:spacing w:line="240" w:lineRule="auto" w:after="0"/>
            </w:pPr>
            <w:r>
              <w:rPr>
                <w:rFonts w:ascii="Arial" w:hAnsi="Arial"/>
                <w:sz w:val="24"/>
              </w:rPr>
              <w:t>12</w:t>
            </w:r>
          </w:p>
        </w:tc>
      </w:tr>
      <w:tr>
        <w:trPr>
          <w:cantSplit/>
        </w:trPr>
        <w:tc>
          <w:tcPr>
            <w:tcW w:type="dxa" w:w="4812"/>
          </w:tcPr>
          <w:p>
            <w:pPr>
              <w:spacing w:line="240" w:lineRule="auto" w:after="0"/>
            </w:pPr>
            <w:r>
              <w:rPr>
                <w:rFonts w:ascii="Arial" w:hAnsi="Arial" w:eastAsia="Arial"/>
                <w:sz w:val="24"/>
              </w:rPr>
              <w:t>9. Reaching a Decision</w:t>
            </w:r>
          </w:p>
        </w:tc>
        <w:tc>
          <w:tcPr>
            <w:tcW w:type="dxa" w:w="1704"/>
          </w:tcPr>
          <w:p>
            <w:pPr>
              <w:spacing w:line="240" w:lineRule="auto" w:after="0"/>
            </w:pPr>
            <w:r>
              <w:rPr>
                <w:rFonts w:ascii="Arial" w:hAnsi="Arial"/>
                <w:sz w:val="24"/>
              </w:rPr>
              <w:t>12</w:t>
            </w:r>
          </w:p>
        </w:tc>
      </w:tr>
      <w:tr>
        <w:trPr>
          <w:cantSplit/>
        </w:trPr>
        <w:tc>
          <w:tcPr>
            <w:tcW w:type="dxa" w:w="4812"/>
          </w:tcPr>
          <w:p>
            <w:pPr>
              <w:spacing w:line="240" w:lineRule="auto" w:after="0"/>
            </w:pPr>
            <w:r>
              <w:rPr>
                <w:rFonts w:ascii="Arial" w:hAnsi="Arial" w:eastAsia="Arial"/>
                <w:sz w:val="24"/>
              </w:rPr>
              <w:t>10. Reintegration Following Suspension</w:t>
            </w:r>
          </w:p>
        </w:tc>
        <w:tc>
          <w:tcPr>
            <w:tcW w:type="dxa" w:w="1704"/>
          </w:tcPr>
          <w:p>
            <w:pPr>
              <w:spacing w:line="240" w:lineRule="auto" w:after="0"/>
            </w:pPr>
            <w:r>
              <w:rPr>
                <w:rFonts w:ascii="Arial" w:hAnsi="Arial"/>
                <w:sz w:val="24"/>
              </w:rPr>
              <w:t>13</w:t>
            </w:r>
          </w:p>
        </w:tc>
      </w:tr>
      <w:tr>
        <w:trPr>
          <w:cantSplit/>
        </w:trPr>
        <w:tc>
          <w:tcPr>
            <w:tcW w:type="dxa" w:w="4812"/>
          </w:tcPr>
          <w:p>
            <w:pPr>
              <w:spacing w:line="240" w:lineRule="auto" w:after="0"/>
            </w:pPr>
            <w:r>
              <w:rPr>
                <w:rFonts w:ascii="Arial" w:hAnsi="Arial" w:eastAsia="Arial"/>
                <w:sz w:val="24"/>
              </w:rPr>
              <w:t>11. Off-Rolling and Removal from Roll</w:t>
            </w:r>
          </w:p>
        </w:tc>
        <w:tc>
          <w:tcPr>
            <w:tcW w:type="dxa" w:w="1704"/>
          </w:tcPr>
          <w:p>
            <w:pPr>
              <w:spacing w:line="240" w:lineRule="auto" w:after="0"/>
            </w:pPr>
            <w:r>
              <w:rPr>
                <w:rFonts w:ascii="Arial" w:hAnsi="Arial"/>
                <w:sz w:val="24"/>
              </w:rPr>
              <w:t>13</w:t>
            </w:r>
          </w:p>
        </w:tc>
      </w:tr>
      <w:tr>
        <w:trPr>
          <w:cantSplit/>
        </w:trPr>
        <w:tc>
          <w:tcPr>
            <w:tcW w:type="dxa" w:w="4812"/>
          </w:tcPr>
          <w:p>
            <w:pPr>
              <w:spacing w:line="240" w:lineRule="auto" w:after="0"/>
            </w:pPr>
            <w:r>
              <w:rPr>
                <w:rFonts w:ascii="Arial" w:hAnsi="Arial" w:eastAsia="Arial"/>
                <w:sz w:val="24"/>
              </w:rPr>
              <w:t>12. Monitoring and Review</w:t>
            </w:r>
          </w:p>
        </w:tc>
        <w:tc>
          <w:tcPr>
            <w:tcW w:type="dxa" w:w="1704"/>
          </w:tcPr>
          <w:p>
            <w:pPr>
              <w:spacing w:line="240" w:lineRule="auto" w:after="0"/>
            </w:pPr>
            <w:r>
              <w:rPr>
                <w:rFonts w:ascii="Arial" w:hAnsi="Arial"/>
                <w:sz w:val="24"/>
              </w:rPr>
              <w:t>14</w:t>
            </w:r>
          </w:p>
        </w:tc>
      </w:tr>
      <w:tr>
        <w:trPr>
          <w:cantSplit/>
        </w:trPr>
        <w:tc>
          <w:tcPr>
            <w:tcW w:type="dxa" w:w="4812"/>
          </w:tcPr>
          <w:p>
            <w:pPr>
              <w:spacing w:line="240" w:lineRule="auto" w:after="0"/>
            </w:pPr>
            <w:r>
              <w:rPr>
                <w:rFonts w:ascii="Arial" w:hAnsi="Arial" w:eastAsia="Arial"/>
                <w:sz w:val="24"/>
              </w:rPr>
              <w:t>13. Links with Other Dovecote Policies</w:t>
            </w:r>
          </w:p>
        </w:tc>
        <w:tc>
          <w:tcPr>
            <w:tcW w:type="dxa" w:w="1704"/>
          </w:tcPr>
          <w:p>
            <w:pPr>
              <w:spacing w:line="240" w:lineRule="auto" w:after="0"/>
            </w:pPr>
            <w:r>
              <w:rPr>
                <w:rFonts w:ascii="Arial" w:hAnsi="Arial"/>
                <w:sz w:val="24"/>
              </w:rPr>
              <w:t>14</w:t>
            </w:r>
          </w:p>
        </w:tc>
      </w:tr>
      <w:tr>
        <w:trPr>
          <w:cantSplit/>
        </w:trPr>
        <w:tc>
          <w:tcPr>
            <w:tcW w:type="dxa" w:w="4812"/>
          </w:tcPr>
          <w:p>
            <w:pPr>
              <w:spacing w:line="240" w:lineRule="auto" w:after="0"/>
            </w:pPr>
            <w:r>
              <w:rPr>
                <w:rFonts w:ascii="Arial" w:hAnsi="Arial" w:eastAsia="Arial"/>
                <w:sz w:val="24"/>
              </w:rPr>
              <w:t>Appendix 1 - Decision Checklist</w:t>
            </w:r>
          </w:p>
        </w:tc>
        <w:tc>
          <w:tcPr>
            <w:tcW w:type="dxa" w:w="1704"/>
          </w:tcPr>
          <w:p>
            <w:pPr>
              <w:spacing w:line="240" w:lineRule="auto" w:after="0"/>
            </w:pPr>
            <w:r>
              <w:rPr>
                <w:rFonts w:ascii="Arial" w:hAnsi="Arial"/>
                <w:sz w:val="24"/>
              </w:rPr>
              <w:t>15</w:t>
            </w:r>
          </w:p>
        </w:tc>
      </w:tr>
      <w:tr>
        <w:trPr>
          <w:cantSplit/>
        </w:trPr>
        <w:tc>
          <w:tcPr>
            <w:tcW w:type="dxa" w:w="4812"/>
          </w:tcPr>
          <w:p>
            <w:pPr>
              <w:spacing w:line="240" w:lineRule="auto" w:after="0"/>
            </w:pPr>
            <w:r>
              <w:rPr>
                <w:rFonts w:ascii="Arial" w:hAnsi="Arial" w:eastAsia="Arial"/>
                <w:sz w:val="24"/>
              </w:rPr>
              <w:t>Appendix 2 - Letter Templates</w:t>
            </w:r>
          </w:p>
        </w:tc>
        <w:tc>
          <w:tcPr>
            <w:tcW w:type="dxa" w:w="1704"/>
          </w:tcPr>
          <w:p>
            <w:pPr>
              <w:spacing w:line="240" w:lineRule="auto" w:after="0"/>
            </w:pPr>
            <w:r>
              <w:rPr>
                <w:rFonts w:ascii="Arial" w:hAnsi="Arial"/>
                <w:sz w:val="24"/>
              </w:rPr>
              <w:t>16</w:t>
            </w:r>
          </w:p>
        </w:tc>
      </w:tr>
    </w:tbl>
    <w:p w14:paraId="481F0C52"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br w:type="page"/>
      </w:r>
    </w:p>
    <w:p w14:paraId="6A288F36" w14:textId="77777777" w:rsidR="00FA199A" w:rsidRPr="00CB3F1E" w:rsidRDefault="00FA199A" w:rsidP="00CB3F1E">
      <w:pPr>
        <w:pageBreakBefore/>
        <w:spacing w:line="276" w:lineRule="auto"/>
        <w:rPr>
          <w:rFonts w:ascii="Arial" w:hAnsi="Arial"/>
          <w:sz w:val="24"/>
          <w:szCs w:val="24"/>
        </w:rPr>
      </w:pPr>
    </w:p>
    <w:p w14:paraId="310AFA43"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Statement of Intent</w:t>
      </w:r>
    </w:p>
    <w:p w14:paraId="0D2FA88C"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At Dovecote School we understand that good behaviour and positive relationships are essential for promoting a high-quality education and a safe, supportive school community.</w:t>
      </w:r>
    </w:p>
    <w:p w14:paraId="7861ABE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The school recognises that suspension or permanent exclusion of a student may be necessary where there has been a serious breach, or consistent serious breaches, of the school's Behaviour (Building Positive Relationships) Policy. Permanent exclusion may also be considered where allowing the student to remain at the school would seriously harm the education or welfare of the student or others. In all cases, suspension and permanent exclusion will be used only where necessary and, for permanent exclusion, as </w:t>
      </w:r>
      <w:r w:rsidRPr="00CB3F1E">
        <w:rPr>
          <w:rFonts w:ascii="Arial" w:hAnsi="Arial"/>
          <w:sz w:val="24"/>
          <w:szCs w:val="24"/>
        </w:rPr>
        <w:t>a last resort.</w:t>
      </w:r>
    </w:p>
    <w:p w14:paraId="560D44E4"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school has created this policy to provide clarity on when the school's power to suspend or permanently exclude a student may be exercised, and to ensure that procedures are fair, proportionate and consistent with natural justice. This policy does not apply where a placement ends for a non-disciplinary reason, including parental withdrawal, non-payment of fees, or a decision that the school can no longer meet need. Those circumstances must be managed through the relevant contractual, admissions, SEND and</w:t>
      </w:r>
      <w:r w:rsidRPr="00CB3F1E">
        <w:rPr>
          <w:rFonts w:ascii="Arial" w:hAnsi="Arial"/>
          <w:sz w:val="24"/>
          <w:szCs w:val="24"/>
        </w:rPr>
        <w:t xml:space="preserve"> commissioning processes.</w:t>
      </w:r>
    </w:p>
    <w:p w14:paraId="5618B5AB"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1. Legal Framework</w:t>
      </w:r>
    </w:p>
    <w:p w14:paraId="0CFE4EF8"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This policy has due regard to relevant legislation and guidance including, but not limited to:</w:t>
      </w:r>
    </w:p>
    <w:p w14:paraId="13283E83" w14:textId="7963632F"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The Education (Independent School Standards) Regulations 2014, including the requirement for a written behaviour policy, effective implementation of sanctions and records of sanctions imposed for serious misbehaviour.</w:t>
      </w:r>
    </w:p>
    <w:p w14:paraId="09F2E6D5" w14:textId="618714E9"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Equality Act 2010.</w:t>
      </w:r>
    </w:p>
    <w:p w14:paraId="468E388B" w14:textId="163A08C9"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Education Act 1996.</w:t>
      </w:r>
    </w:p>
    <w:p w14:paraId="591C0B0E" w14:textId="4B6FCE33"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Children and Families Act 2014.</w:t>
      </w:r>
    </w:p>
    <w:p w14:paraId="23E0FAC5" w14:textId="1B4669CC"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Human Rights Act 1998 and the European Convention on Human Rights, where relevant.</w:t>
      </w:r>
    </w:p>
    <w:p w14:paraId="09011383" w14:textId="775586D4"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DfE 'Special educational needs and disability code of practice: 0 to 25 years'.</w:t>
      </w:r>
    </w:p>
    <w:p w14:paraId="0956480F" w14:textId="27227D69"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DfE 'Behaviour in schools: advice for headteachers and school staff'.</w:t>
      </w:r>
    </w:p>
    <w:p w14:paraId="4E171528" w14:textId="7131EB80"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DfE 'Independent school standards guidance' (updated April 2026).</w:t>
      </w:r>
    </w:p>
    <w:p w14:paraId="669371BA" w14:textId="23247CD8" w:rsidR="00FA199A" w:rsidRPr="00CB3F1E" w:rsidRDefault="00FB14C9" w:rsidP="00FB14C9">
      <w:pPr>
        <w:pStyle w:val="ListParagraph"/>
        <w:numPr>
          <w:ilvl w:val="0"/>
          <w:numId w:val="3"/>
        </w:numPr>
        <w:spacing w:after="120" w:line="276" w:lineRule="auto"/>
        <w:rPr>
          <w:rFonts w:ascii="Arial" w:hAnsi="Arial"/>
          <w:sz w:val="24"/>
          <w:szCs w:val="24"/>
        </w:rPr>
      </w:pPr>
      <w:r>
        <w:rPr>
          <w:rFonts w:ascii="Arial" w:hAnsi="Arial" w:eastAsia="Arial"/>
          <w:sz w:val="24"/>
        </w:rPr>
        <w:t>Keeping Children Safe in Education 2026 (KCSIE 2026), in force from 1 September 2026.</w:t>
      </w:r>
    </w:p>
    <w:p>
      <w:pPr>
        <w:spacing w:line="276" w:lineRule="auto" w:after="0"/>
        <w:ind w:left="397" w:hanging="198"/>
      </w:pPr>
      <w:r>
        <w:rPr>
          <w:rFonts w:ascii="Arial" w:hAnsi="Arial"/>
          <w:sz w:val="24"/>
        </w:rPr>
        <w:t>•  The School Attendance (Pupil Registration) (England) Regulations 2024 and current DfE attendance guidance, so far as applicable to independent schools.</w:t>
      </w:r>
    </w:p>
    <w:p w14:paraId="417ED060"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Dovecote is an independent special school. The DfE statutory guidance 'Suspension and Permanent Exclusion from maintained schools, academies and pupil referral units in England, including pupil movement' (updated July 2026) does not directly apply to Dovecote. The school nevertheless has regard to relevant principles within that guidance as good practice where they are compatible with the independent-school framework and Dovecote's contractual arrangements.</w:t>
      </w:r>
    </w:p>
    <w:p w14:paraId="390CCA9E"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lastRenderedPageBreak/>
        <w:t>This policy should be read alongside DC017 Behaviour (Building Positive Relationships) Policy, DC025 Anti-Bullying Policy, DC031 SEND Policy and DC008 Child Protection and Safeguarding Policy.</w:t>
      </w:r>
    </w:p>
    <w:p>
      <w:pPr>
        <w:pStyle w:val="Heading2"/>
        <w:keepNext/>
        <w:spacing w:line="276" w:lineRule="auto" w:after="80"/>
      </w:pPr>
      <w:r>
        <w:rPr>
          <w:rFonts w:ascii="Arial" w:hAnsi="Arial" w:eastAsia="Arial"/>
          <w:b/>
          <w:sz w:val="24"/>
        </w:rPr>
        <w:t>1.1 Key Definitions</w:t>
      </w:r>
    </w:p>
    <w:p>
      <w:pPr>
        <w:spacing w:line="276" w:lineRule="auto" w:after="120"/>
      </w:pPr>
      <w:r>
        <w:rPr>
          <w:rFonts w:ascii="Arial" w:hAnsi="Arial" w:eastAsia="Arial"/>
          <w:b w:val="0"/>
          <w:sz w:val="24"/>
        </w:rPr>
        <w:t>Suspension - a disciplinary sanction under which a student is required not to attend Dovecote for a specified, fixed period. It has a clear start and end point and is formally recorded.</w:t>
      </w:r>
    </w:p>
    <w:p>
      <w:pPr>
        <w:spacing w:line="276" w:lineRule="auto" w:after="120"/>
      </w:pPr>
      <w:r>
        <w:rPr>
          <w:rFonts w:ascii="Arial" w:hAnsi="Arial" w:eastAsia="Arial"/>
          <w:b w:val="0"/>
          <w:sz w:val="24"/>
        </w:rPr>
        <w:t>Permanent exclusion - the permanent removal of a student from Dovecote on disciplinary grounds, resulting in termination of the student's place in accordance with this policy and the relevant contractual and commissioning arrangements.</w:t>
      </w:r>
    </w:p>
    <w:p>
      <w:pPr>
        <w:spacing w:line="276" w:lineRule="auto" w:after="120"/>
      </w:pPr>
      <w:r>
        <w:rPr>
          <w:rFonts w:ascii="Arial" w:hAnsi="Arial" w:eastAsia="Arial"/>
          <w:b w:val="0"/>
          <w:sz w:val="24"/>
        </w:rPr>
        <w:t>Internal separation - a temporary arrangement in which a student remains on site but is educated or supervised separately. It is not a suspension.</w:t>
      </w:r>
    </w:p>
    <w:p>
      <w:pPr>
        <w:spacing w:line="276" w:lineRule="auto" w:after="120"/>
      </w:pPr>
      <w:r>
        <w:rPr>
          <w:rFonts w:ascii="Arial" w:hAnsi="Arial" w:eastAsia="Arial"/>
          <w:b w:val="0"/>
          <w:sz w:val="24"/>
        </w:rPr>
        <w:t>Safeguarding separation from site - an exceptional, temporary and non-disciplinary measure used where attendance on site presents an identified safeguarding or safety risk that cannot be managed through a reasonable on-site arrangement. It is risk assessed, time limited and regularly reviewed and is not recorded as a disciplinary suspension.</w:t>
      </w:r>
    </w:p>
    <w:p>
      <w:pPr>
        <w:spacing w:line="276" w:lineRule="auto" w:after="120"/>
      </w:pPr>
      <w:r>
        <w:rPr>
          <w:rFonts w:ascii="Arial" w:hAnsi="Arial" w:eastAsia="Arial"/>
          <w:b w:val="0"/>
          <w:sz w:val="24"/>
        </w:rPr>
        <w:t>Managed move - a consensual permanent transfer to another school. It is not a sanction and requires the agreement of the relevant parties, including the placing local authority where applicable.</w:t>
      </w:r>
    </w:p>
    <w:p>
      <w:pPr>
        <w:spacing w:line="276" w:lineRule="auto" w:after="120"/>
      </w:pPr>
      <w:r>
        <w:rPr>
          <w:rFonts w:ascii="Arial" w:hAnsi="Arial" w:eastAsia="Arial"/>
          <w:b w:val="0"/>
          <w:sz w:val="24"/>
        </w:rPr>
        <w:t>Off-rolling - removing or pressuring a student to leave, or preventing normal attendance, in the interests of the school rather than the student and outside lawful, published and contractual arrangements.</w:t>
      </w:r>
    </w:p>
    <w:p w14:paraId="3AC5DDC6"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2. Roles and Responsibilities</w:t>
      </w:r>
    </w:p>
    <w:p w14:paraId="53D9CE9E" w14:textId="77777777" w:rsidR="00FA199A" w:rsidRPr="00CB3F1E" w:rsidRDefault="00FB14C9" w:rsidP="00CB3F1E">
      <w:pPr>
        <w:pStyle w:val="Heading2"/>
        <w:spacing w:before="180" w:after="80" w:line="276" w:lineRule="auto"/>
        <w:rPr>
          <w:rFonts w:ascii="Arial" w:hAnsi="Arial"/>
          <w:sz w:val="24"/>
          <w:szCs w:val="24"/>
        </w:rPr>
      </w:pPr>
      <w:r w:rsidRPr="00CB3F1E">
        <w:rPr>
          <w:rFonts w:ascii="Arial" w:hAnsi="Arial"/>
          <w:sz w:val="24"/>
          <w:szCs w:val="24"/>
        </w:rPr>
        <w:t>2.1 Local authorities and commissioners</w:t>
      </w:r>
    </w:p>
    <w:p w14:paraId="65D86D7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a student has an EHC plan or is placed and funded by a local authority, the school will work with the placing authority in accordance with the EHC plan, commissioning arrangements and applicable statutory duties. Where a permanent exclusion or placement breakdown is being considered, the school will normally seek urgent discussion with the placing authority and, where appropriate, request an emergency review of the EHC plan and placement.</w:t>
      </w:r>
    </w:p>
    <w:p w14:paraId="3AED82C5" w14:textId="77777777" w:rsidR="00FA199A" w:rsidRPr="00CB3F1E" w:rsidRDefault="00FB14C9" w:rsidP="00CB3F1E">
      <w:pPr>
        <w:pStyle w:val="Heading2"/>
        <w:spacing w:before="180" w:after="80" w:line="276" w:lineRule="auto"/>
        <w:rPr>
          <w:rFonts w:ascii="Arial" w:hAnsi="Arial"/>
          <w:sz w:val="24"/>
          <w:szCs w:val="24"/>
        </w:rPr>
      </w:pPr>
      <w:r w:rsidRPr="00CB3F1E">
        <w:rPr>
          <w:rFonts w:ascii="Arial" w:hAnsi="Arial"/>
          <w:sz w:val="24"/>
          <w:szCs w:val="24"/>
        </w:rPr>
        <w:t>2.2 Dovecote School Governance Body and Cavendish Education</w:t>
      </w:r>
    </w:p>
    <w:p w14:paraId="44BE8D0B" w14:textId="77777777" w:rsidR="00FA199A" w:rsidRPr="00CB3F1E" w:rsidRDefault="00FB14C9" w:rsidP="00CB3F1E">
      <w:pPr>
        <w:spacing w:after="120" w:line="276" w:lineRule="auto"/>
        <w:rPr>
          <w:rFonts w:ascii="Arial" w:hAnsi="Arial"/>
          <w:sz w:val="24"/>
          <w:szCs w:val="24"/>
        </w:rPr>
      </w:pPr>
      <w:r>
        <w:rPr>
          <w:rFonts w:ascii="Arial" w:hAnsi="Arial" w:eastAsia="Arial"/>
          <w:sz w:val="24"/>
        </w:rPr>
        <w:t>The Dovecote School Governance Body is responsible for approving this policy and overseeing the fairness and effectiveness of the school's suspension and permanent exclusion arrangements. Where a formal internal review is requested, an impartial panel will be appointed in accordance with section 8. When permanent exclusion is being considered, the Headteacher will notify Cavendish Education's Director of Risk or designated central compliance lead in writing and keep the Chair of the Dovecote School Governance Body informed. Any person who gives substantive advice on the original permanent exclusion decision will not sit on the subsequent review panel.</w:t>
      </w:r>
    </w:p>
    <w:p w14:paraId="5D35B1CA" w14:textId="77777777" w:rsidR="00FA199A" w:rsidRPr="00CB3F1E" w:rsidRDefault="00FB14C9" w:rsidP="00CB3F1E">
      <w:pPr>
        <w:pStyle w:val="Heading2"/>
        <w:spacing w:before="180" w:after="80" w:line="276" w:lineRule="auto"/>
        <w:rPr>
          <w:rFonts w:ascii="Arial" w:hAnsi="Arial"/>
          <w:sz w:val="24"/>
          <w:szCs w:val="24"/>
        </w:rPr>
      </w:pPr>
      <w:r w:rsidRPr="00CB3F1E">
        <w:rPr>
          <w:rFonts w:ascii="Arial" w:hAnsi="Arial"/>
          <w:sz w:val="24"/>
          <w:szCs w:val="24"/>
        </w:rPr>
        <w:t>2.3 Headteacher</w:t>
      </w:r>
    </w:p>
    <w:p w14:paraId="6FF2879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is responsible for:</w:t>
      </w:r>
    </w:p>
    <w:p w14:paraId="4647C92D" w14:textId="59DD4DF2"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Applying the civil standard of proof when establishing the facts in relation to a suspension or permanent exclusion.</w:t>
      </w:r>
    </w:p>
    <w:p w14:paraId="4AFD94CB" w14:textId="5824F8AF"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Complying with the school's duties in relation to SEND, disability, safeguarding and equality when administering this policy.</w:t>
      </w:r>
    </w:p>
    <w:p w14:paraId="7D421A97" w14:textId="1D65359B"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Considering any contributing factors identified after an incident, including bereavement, bullying, exploitation, trauma, mental health, communication needs or unmet SEND.</w:t>
      </w:r>
    </w:p>
    <w:p w14:paraId="6C0313CE" w14:textId="4EC64197"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Considering what extra support may be needed for individual students, particularly those with SEND, EHC plans, care experience or other vulnerabilities.</w:t>
      </w:r>
    </w:p>
    <w:p w14:paraId="4D1BB6E7" w14:textId="26CF263C"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Engaging effectively with parents and relevant professionals in supporting students with additional needs.</w:t>
      </w:r>
    </w:p>
    <w:p w14:paraId="3B449981" w14:textId="73FA803E"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Arranging and attending a disciplinary meeting where appropriate.</w:t>
      </w:r>
    </w:p>
    <w:p w14:paraId="51C1BEAE" w14:textId="6C16D06B"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Determining whether a student will be suspended or permanently excluded on disciplinary grounds.</w:t>
      </w:r>
    </w:p>
    <w:p w14:paraId="10BD0ABB" w14:textId="4246897D"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Ensuring any decision is lawful, rational, reasonable, fair and proportionate.</w:t>
      </w:r>
    </w:p>
    <w:p w14:paraId="3F516287" w14:textId="27155A8D"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Considering the school's duty of care and safeguarding responsibilities before a student is sent home.</w:t>
      </w:r>
    </w:p>
    <w:p w14:paraId="303DB088" w14:textId="793F9A67"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Notifying parents without delay and ensuring the decision is recorded accurately.</w:t>
      </w:r>
    </w:p>
    <w:p w14:paraId="49AA22EE" w14:textId="181350B0"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Liaising with the local authority, commissioner, DSL, SENCO or other agencies where appropriate.</w:t>
      </w:r>
    </w:p>
    <w:p w14:paraId="1F0ACFEB" w14:textId="380B3FBD"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lastRenderedPageBreak/>
        <w:t>Organising suitable education during a suspension where reasonably practicable and appropriate to the student's needs.</w:t>
      </w:r>
    </w:p>
    <w:p>
      <w:pPr>
        <w:spacing w:line="276" w:lineRule="auto" w:after="0"/>
        <w:ind w:left="397" w:hanging="198"/>
      </w:pPr>
      <w:r>
        <w:rPr>
          <w:rFonts w:ascii="Arial" w:hAnsi="Arial"/>
          <w:sz w:val="24"/>
        </w:rPr>
        <w:t>•  Notifying Cavendish Education's Director of Risk or designated central compliance lead when permanent exclusion is under consideration and keeping the Chair of the Dovecote School Governance Body informed.</w:t>
      </w:r>
    </w:p>
    <w:p w14:paraId="7CD71A79"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3. Grounds for Suspension or Permanent Exclusion</w:t>
      </w:r>
    </w:p>
    <w:p w14:paraId="631F8552"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school will only suspend or permanently exclude a student where it is necessary and proportionate. Permanent exclusion will normally only be considered where appropriate supportive and disciplinary measures have been considered or tried, unless the seriousness of a single incident makes an immediate permanent exclusion necessary.</w:t>
      </w:r>
    </w:p>
    <w:p w14:paraId="4B4A943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following examples of student behaviour may contribute to the school's decision to suspend or permanently exclude a student:</w:t>
      </w:r>
    </w:p>
    <w:p w14:paraId="07261F97" w14:textId="0FF72892"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Any incident which poses a serious risk to the student, other students or members of staff, for example bringing or using a weapon.</w:t>
      </w:r>
    </w:p>
    <w:p w14:paraId="5C968A24" w14:textId="6CC7282E"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criminal or potentially criminal behaviour.</w:t>
      </w:r>
    </w:p>
    <w:p w14:paraId="163E8051" w14:textId="2F5D4DBF"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Persistent and severe bullying, including discriminatory or online bullying.</w:t>
      </w:r>
    </w:p>
    <w:p w14:paraId="76CD52DA" w14:textId="297C548E"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verbal or physical abuse.</w:t>
      </w:r>
    </w:p>
    <w:p w14:paraId="3DF07493" w14:textId="21C49FF5"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or repeated disruption where reasonable support and intervention have not been effective.</w:t>
      </w:r>
    </w:p>
    <w:p w14:paraId="4CB4FD26" w14:textId="0F3941B7"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deliberate damage to property or vandalism.</w:t>
      </w:r>
    </w:p>
    <w:p w14:paraId="56607B29" w14:textId="229AB671"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sexual violence, sexual harassment or harmful sexual behaviour.</w:t>
      </w:r>
    </w:p>
    <w:p w14:paraId="4E61C45D" w14:textId="2455BFEE"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A single serious incident, for example a serious assault causing or risking significant injury.</w:t>
      </w:r>
    </w:p>
    <w:p w14:paraId="17B6EFEA"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above list is not exhaustive. The Headteacher will consider the facts, context, risk, impact, previous support, the student's individual needs and any relevant safeguarding information before deciding whether suspension or permanent exclusion is appropriate.</w:t>
      </w:r>
    </w:p>
    <w:p w14:paraId="601EAC76"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 student will not be suspended or permanently excluded because of a parent's conduct. Concerns about parent behaviour, access to the site or communications will be managed separately under the appropriate school procedures.</w:t>
      </w:r>
    </w:p>
    <w:p w14:paraId="13CB1D83" w14:textId="2446DA29" w:rsidR="00FA199A" w:rsidRPr="00CB3F1E" w:rsidRDefault="00FB14C9" w:rsidP="00CB3F1E">
      <w:pPr>
        <w:spacing w:after="100" w:line="276" w:lineRule="auto"/>
        <w:rPr>
          <w:rFonts w:ascii="Arial" w:hAnsi="Arial"/>
          <w:sz w:val="24"/>
          <w:szCs w:val="24"/>
        </w:rPr>
      </w:pPr>
      <w:r w:rsidRPr="00CB3F1E">
        <w:rPr>
          <w:rFonts w:ascii="Arial" w:hAnsi="Arial"/>
          <w:sz w:val="24"/>
          <w:szCs w:val="24"/>
        </w:rPr>
        <w:t>For consistency with Dovecote's existing approach, a suspension will normally be time-</w:t>
      </w:r>
      <w:r w:rsidR="00CB3F1E" w:rsidRPr="00CB3F1E">
        <w:rPr>
          <w:rFonts w:ascii="Arial" w:hAnsi="Arial"/>
          <w:sz w:val="24"/>
          <w:szCs w:val="24"/>
        </w:rPr>
        <w:t>limited,</w:t>
      </w:r>
      <w:r w:rsidRPr="00CB3F1E">
        <w:rPr>
          <w:rFonts w:ascii="Arial" w:hAnsi="Arial"/>
          <w:sz w:val="24"/>
          <w:szCs w:val="24"/>
        </w:rPr>
        <w:t xml:space="preserve"> and the school will not normally suspend a student for more than 45 school days in a single academic year. This is an internal Dovecote limit informed by national good practice and is not a statutory limit that applies to independent schools.</w:t>
      </w:r>
    </w:p>
    <w:p w14:paraId="7237DA9E"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4. The Headteacher's Power to Suspend or Permanently Exclude</w:t>
      </w:r>
    </w:p>
    <w:p w14:paraId="63CAC9C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Only the Headteacher, or the person formally acting as Headteacher in their absence, may authorise a suspension or permanent exclusion.</w:t>
      </w:r>
    </w:p>
    <w:p w14:paraId="75AC6E3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may take account of serious behaviour outside the school premises where it is reasonable to do so and where the behaviour has a clear connection with the school, its students, staff, safety or reputation, in accordance with the Behaviour Policy.</w:t>
      </w:r>
    </w:p>
    <w:p w14:paraId="730E709A"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Any decision to suspend or permanently exclude will be lawful, proportionate and fair, with due regard to the school's wider legal duties, including equality, SEND, safeguarding and human-rights considerations.</w:t>
      </w:r>
    </w:p>
    <w:p w14:paraId="0C02BEC2"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lastRenderedPageBreak/>
        <w:t>All suspensions and permanent exclusions will be formally recorded on the school's management information and behaviour systems and in attendance records as required.</w:t>
      </w:r>
    </w:p>
    <w:p w14:paraId="605CC0DC"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When sending a student home following a suspension, the Headteacher will exercise the school's duty of care, consider safeguarding risks and ensure parents are informed. A student will not be sent home informally for disciplinary reasons.</w:t>
      </w:r>
    </w:p>
    <w:p w14:paraId="615FB473"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apply the civil standard of proof: on the balance of probabilities, it must be more likely than not that the relevant facts occurred.</w:t>
      </w:r>
    </w:p>
    <w:p w14:paraId="2F9A9BA3"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Internal removal, where a student remains supervised and educated on site away from their usual group, is not a formal suspension. It must be purposeful, proportionate and consistent with the Behaviour Policy.</w:t>
      </w:r>
    </w:p>
    <w:p>
      <w:pPr>
        <w:spacing w:line="276" w:lineRule="auto" w:after="120"/>
      </w:pPr>
      <w:r>
        <w:rPr>
          <w:rFonts w:ascii="Arial" w:hAnsi="Arial" w:eastAsia="Arial"/>
          <w:b w:val="0"/>
          <w:sz w:val="24"/>
        </w:rPr>
        <w:t>The school will not use an open-ended suspension pending investigation. Every disciplinary suspension will have a defined start and end point and will normally be for the shortest period reasonably necessary. If fact-finding is incomplete, the position will be reviewed before the suspension expires and any further decision will be recorded and notified formally.</w:t>
      </w:r>
    </w:p>
    <w:p>
      <w:pPr>
        <w:spacing w:line="276" w:lineRule="auto" w:after="120"/>
      </w:pPr>
      <w:r>
        <w:rPr>
          <w:rFonts w:ascii="Arial" w:hAnsi="Arial" w:eastAsia="Arial"/>
          <w:b w:val="0"/>
          <w:sz w:val="24"/>
        </w:rPr>
        <w:t>A safeguarding separation from site is not a disciplinary sanction. It must be supported by a recorded safeguarding risk assessment, a named decision-maker, a review date and arrangements for education, pastoral contact and safeguarding oversight. Normal attendance will resume as soon as the identified risk can be managed safely.</w:t>
      </w:r>
    </w:p>
    <w:p w14:paraId="5951795B"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5. Factors to Consider When Suspending or Excluding a Student</w:t>
      </w:r>
    </w:p>
    <w:p w14:paraId="25A97A4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An immediate suspension may be imposed where there is an urgent need to protect the safety or welfare of the student, other students or staff, or to allow a serious incident to be investigated safely. A permanent exclusion will not be confirmed without a proportionate investigation and consideration of relevant circumstances.</w:t>
      </w:r>
    </w:p>
    <w:p w14:paraId="71C547BD"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When considering suspension or permanent exclusion, the Headteacher will:</w:t>
      </w:r>
    </w:p>
    <w:p w14:paraId="385E1C37" w14:textId="6D12CEED"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Ensure an appropriate investigation and evidence-recording process is conducted.</w:t>
      </w:r>
    </w:p>
    <w:p w14:paraId="0D6D3BE1" w14:textId="40A2DAED"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Allow the student an opportunity to present their account in a way that takes account of age, understanding, communication needs and SEND; a parent or trusted member of staff may support the student where appropriate.</w:t>
      </w:r>
    </w:p>
    <w:p w14:paraId="329EEEAC" w14:textId="42B58FA3"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contributing factors, including SEND, disability, EHC plan provision, mental health, trauma, bereavement, bullying, exploitation, safeguarding concerns and communication needs.</w:t>
      </w:r>
    </w:p>
    <w:p w14:paraId="1636FE59" w14:textId="4A543C60"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whether behaviour may be a manifestation of disability and whether reasonable adjustments have been made or should be made.</w:t>
      </w:r>
    </w:p>
    <w:p w14:paraId="56C86935" w14:textId="1C9D18C0"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what additional support may reduce the risk of recurrence, particularly for vulnerable students.</w:t>
      </w:r>
    </w:p>
    <w:p w14:paraId="6178FE07" w14:textId="51CB4A7A"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whether the school has implemented relevant provision in the student's EHC plan and whether any unmet provision may have contributed to the behaviour.</w:t>
      </w:r>
    </w:p>
    <w:p w14:paraId="79B64255" w14:textId="7EF50428"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the likely safeguarding, welfare and educational impact of suspension or permanent exclusion.</w:t>
      </w:r>
    </w:p>
    <w:p w14:paraId="601BB761" w14:textId="18AD6A92"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whether a less restrictive response could safely and appropriately address the concern.</w:t>
      </w:r>
    </w:p>
    <w:p w14:paraId="2256F1DC"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school will seek to avoid permanent exclusion of a student with an EHC plan, a looked-after child, a previously looked-after child or a student with significant SEND or SEMH needs where a safe and suitable alternative can be achieved. This does not prevent suspension or permanent exclusion where the circumstances make it necessary and proportionate.</w:t>
      </w:r>
    </w:p>
    <w:p w14:paraId="7C8954C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concerns indicate that the placement may no longer be able to meet the student's needs safely, the Headteacher and SENCO will normally seek an urgent multi-agency discussion and, where appropriate, an emergency EHC plan review.</w:t>
      </w:r>
    </w:p>
    <w:p>
      <w:pPr>
        <w:spacing w:line="276" w:lineRule="auto" w:after="120"/>
      </w:pPr>
      <w:r>
        <w:rPr>
          <w:rFonts w:ascii="Arial" w:hAnsi="Arial" w:eastAsia="Arial"/>
          <w:b w:val="0"/>
          <w:sz w:val="24"/>
        </w:rPr>
        <w:t>The school will not delay a disciplinary decision indefinitely because a police or safeguarding investigation is ongoing. The Headteacher will consult the DSL and any relevant agency to decide whether proceeding would prejudice another investigation or create a safeguarding risk, and will record the reasons for the approach taken.</w:t>
      </w:r>
    </w:p>
    <w:p w14:paraId="3B86E1B6"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lastRenderedPageBreak/>
        <w:t>6. Duty to Inform Parents</w:t>
      </w:r>
    </w:p>
    <w:p w14:paraId="408DE799"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inform parents as soon as reasonably practicable where a serious incident is under investigation and suspension or permanent exclusion is a possible outcome, unless doing so would prejudice a safeguarding or police investigation.</w:t>
      </w:r>
    </w:p>
    <w:p w14:paraId="1EFAA250"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When a decision is made to suspend or permanently exclude a student, the Headteacher will inform parents without delay, normally by telephone or in person, followed by written confirmation. The written notification will include:</w:t>
      </w:r>
    </w:p>
    <w:p w14:paraId="1031A6B7" w14:textId="7E022953"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The reason(s) for the decision and a concise summary of the incident or behaviour concerned.</w:t>
      </w:r>
    </w:p>
    <w:p w14:paraId="5BD5712D" w14:textId="16A8CBEF"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Whether the decision is a suspension or permanent exclusion.</w:t>
      </w:r>
    </w:p>
    <w:p w14:paraId="2663BC1E" w14:textId="64A454E8"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For a suspension, the start and end dates and return arrangements.</w:t>
      </w:r>
    </w:p>
    <w:p w14:paraId="5B348C89" w14:textId="0F5A3442"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Arrangements for education during the suspension, where appropriate.</w:t>
      </w:r>
    </w:p>
    <w:p w14:paraId="0A00421C" w14:textId="129371A4"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Any restriction on the student entering the school premises during the suspension.</w:t>
      </w:r>
    </w:p>
    <w:p w14:paraId="46F4D396" w14:textId="3D7B53C1"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The right to make representations and, where applicable, request an internal review under section 8.</w:t>
      </w:r>
    </w:p>
    <w:p w14:paraId="3965E9CC" w14:textId="3F48EF47"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Relevant school contact details and, where appropriate, information about SEND, safeguarding, discrimination or local-authority routes.</w:t>
      </w:r>
    </w:p>
    <w:p>
      <w:pPr>
        <w:spacing w:line="276" w:lineRule="auto" w:after="0"/>
        <w:ind w:left="397" w:hanging="198"/>
      </w:pPr>
      <w:r>
        <w:rPr>
          <w:rFonts w:ascii="Arial" w:hAnsi="Arial"/>
          <w:sz w:val="24"/>
        </w:rPr>
        <w:t>•  The proposed reintegration arrangements and the name or role of the person parents may contact with questions.</w:t>
      </w:r>
    </w:p>
    <w:p>
      <w:pPr>
        <w:spacing w:line="276" w:lineRule="auto" w:after="0"/>
        <w:ind w:left="397" w:hanging="198"/>
      </w:pPr>
      <w:r>
        <w:rPr>
          <w:rFonts w:ascii="Arial" w:hAnsi="Arial"/>
          <w:sz w:val="24"/>
        </w:rPr>
        <w:t>•  For a permanent exclusion, the effective date, arrangements for belongings and records, internal review rights and any relevant contractual or commissioning consequences.</w:t>
      </w:r>
    </w:p>
    <w:p w14:paraId="15C71BD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Where new evidence results in a further suspension or a decision to permanently exclude following an earlier suspension, parents will be notified without </w:t>
      </w:r>
      <w:proofErr w:type="gramStart"/>
      <w:r w:rsidRPr="00CB3F1E">
        <w:rPr>
          <w:rFonts w:ascii="Arial" w:hAnsi="Arial"/>
          <w:sz w:val="24"/>
          <w:szCs w:val="24"/>
        </w:rPr>
        <w:t>delay</w:t>
      </w:r>
      <w:proofErr w:type="gramEnd"/>
      <w:r w:rsidRPr="00CB3F1E">
        <w:rPr>
          <w:rFonts w:ascii="Arial" w:hAnsi="Arial"/>
          <w:sz w:val="24"/>
          <w:szCs w:val="24"/>
        </w:rPr>
        <w:t xml:space="preserve"> and a new written decision will be issued.</w:t>
      </w:r>
    </w:p>
    <w:p w14:paraId="1282D933"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the student has an EHC plan, the school will liaise with parents and the placing local authority about any required review of provision, placement or next steps.</w:t>
      </w:r>
    </w:p>
    <w:p w14:paraId="40D33CD0"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7. Disciplinary Meeting</w:t>
      </w:r>
    </w:p>
    <w:p w14:paraId="02D0D5C0"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decide whether a disciplinary meeting is required to address a serious breach of the school's Behaviour Policy where suspension or permanent exclusion is being considered.</w:t>
      </w:r>
    </w:p>
    <w:p w14:paraId="20A4E697"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student and parents will normally be invited to attend. They will be given an opportunity to provide their views and respond to the concerns. The student may be supported by a parent and/or an appropriate member of staff, taking account of the student's needs and wishes.</w:t>
      </w:r>
    </w:p>
    <w:p w14:paraId="712EFF67"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relevant, the following documents will be available to the Headteacher for decision-making:</w:t>
      </w:r>
    </w:p>
    <w:p w14:paraId="33090D60" w14:textId="028CB13A"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A statement or incident record describing the concern.</w:t>
      </w:r>
    </w:p>
    <w:p w14:paraId="7D52F88F" w14:textId="73751196"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The investigation record and relevant witness accounts.</w:t>
      </w:r>
    </w:p>
    <w:p w14:paraId="73167A3C" w14:textId="6D30A2E6"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Relevant correspondence or other evidence.</w:t>
      </w:r>
    </w:p>
    <w:p w14:paraId="405C4C67" w14:textId="7DE6489D"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Relevant information from the student's school record, including behaviour, safeguarding or SEND information where lawful and necessary.</w:t>
      </w:r>
    </w:p>
    <w:p w14:paraId="2FEBE7F5" w14:textId="067CA101"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A copy of this policy and the Behaviour Policy.</w:t>
      </w:r>
    </w:p>
    <w:p w14:paraId="082E61F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The school will protect confidential information and the rights of other children and adults. Information will not be withheld where doing so would make the process unfair, but </w:t>
      </w:r>
      <w:r w:rsidRPr="00CB3F1E">
        <w:rPr>
          <w:rFonts w:ascii="Arial" w:hAnsi="Arial"/>
          <w:sz w:val="24"/>
          <w:szCs w:val="24"/>
        </w:rPr>
        <w:lastRenderedPageBreak/>
        <w:t>confidential third-party information will be handled carefully and in accordance with safeguarding and data-protection requirements.</w:t>
      </w:r>
    </w:p>
    <w:p w14:paraId="76722BC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decide, on the balance of probabilities, whether the behaviour is established and what action is proportionate. The decision will be communicated promptly and confirmed in writing.</w:t>
      </w:r>
    </w:p>
    <w:p w14:paraId="15058D31"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8. Reviewing Suspensions and Permanent Exclusions</w:t>
      </w:r>
    </w:p>
    <w:p w14:paraId="110650DE" w14:textId="77777777" w:rsidR="00FA199A" w:rsidRPr="00CB3F1E" w:rsidRDefault="00FB14C9" w:rsidP="00CB3F1E">
      <w:pPr>
        <w:spacing w:after="120" w:line="276" w:lineRule="auto"/>
        <w:rPr>
          <w:rFonts w:ascii="Arial" w:hAnsi="Arial"/>
          <w:sz w:val="24"/>
          <w:szCs w:val="24"/>
        </w:rPr>
      </w:pPr>
      <w:r>
        <w:rPr>
          <w:rFonts w:ascii="Arial" w:hAnsi="Arial" w:eastAsia="Arial"/>
          <w:sz w:val="24"/>
        </w:rPr>
        <w:t>Parents may make written representations about any suspension or permanent exclusion. A parent requesting an internal review of a permanent exclusion should write to the People, Resources and Compliance Manager within 10 school days of the written decision, stating the grounds for review. A late request may be accepted where the Review Chair considers there is a reasonable explanation for the delay.</w:t>
      </w:r>
    </w:p>
    <w:p w14:paraId="3A5913BD" w14:textId="77777777" w:rsidR="00FA199A" w:rsidRPr="00CB3F1E" w:rsidRDefault="00FB14C9" w:rsidP="00CB3F1E">
      <w:pPr>
        <w:spacing w:after="120" w:line="276" w:lineRule="auto"/>
        <w:rPr>
          <w:rFonts w:ascii="Arial" w:hAnsi="Arial"/>
          <w:sz w:val="24"/>
          <w:szCs w:val="24"/>
        </w:rPr>
      </w:pPr>
      <w:r>
        <w:rPr>
          <w:rFonts w:ascii="Arial" w:hAnsi="Arial" w:eastAsia="Arial"/>
          <w:sz w:val="24"/>
        </w:rPr>
        <w:t>For a permanent exclusion, or where the Headteacher or Dovecote School Governance Body considers the circumstances warrant a formal review, the Proprietor will appoint an impartial panel of normally three people who were not responsible for the original decision. At least one member will be independent of Dovecote's day-to-day management. No member will have a conflict of interest or prior involvement that could reasonably call their impartiality into question.</w:t>
      </w:r>
    </w:p>
    <w:p w14:paraId="06571141" w14:textId="77777777" w:rsidR="00FA199A" w:rsidRPr="00CB3F1E" w:rsidRDefault="00FB14C9" w:rsidP="00CB3F1E">
      <w:pPr>
        <w:spacing w:after="120" w:line="276" w:lineRule="auto"/>
        <w:rPr>
          <w:rFonts w:ascii="Arial" w:hAnsi="Arial"/>
          <w:sz w:val="24"/>
          <w:szCs w:val="24"/>
        </w:rPr>
      </w:pPr>
      <w:r>
        <w:rPr>
          <w:rFonts w:ascii="Arial" w:hAnsi="Arial" w:eastAsia="Arial"/>
          <w:sz w:val="24"/>
        </w:rPr>
        <w:t>Before the meeting, parents will receive the material documents on which the school relies, subject to lawful redaction, safeguarding restrictions and the rights of third parties. Parents and the student, where appropriate, may provide written representations and attend with a companion or representative. The Headteacher may attend to explain the decision, and the panel may ask questions or adjourn where further information is reasonably required.</w:t>
      </w:r>
    </w:p>
    <w:p w14:paraId="553DAB0D" w14:textId="77777777" w:rsidR="00FA199A" w:rsidRPr="00CB3F1E" w:rsidRDefault="00FB14C9" w:rsidP="00CB3F1E">
      <w:pPr>
        <w:spacing w:after="120" w:line="276" w:lineRule="auto"/>
        <w:rPr>
          <w:rFonts w:ascii="Arial" w:hAnsi="Arial"/>
          <w:sz w:val="24"/>
          <w:szCs w:val="24"/>
        </w:rPr>
      </w:pPr>
      <w:r>
        <w:rPr>
          <w:rFonts w:ascii="Arial" w:hAnsi="Arial" w:eastAsia="Arial"/>
          <w:sz w:val="24"/>
        </w:rPr>
        <w:t>The panel will consider whether the decision complied with this policy and the school's contractual and commissioning arrangements, whether the process was fair, whether all relevant matters were considered and whether the decision fell within the range of reasonable responses open to the Headteacher. The review is an internal contractual process and is not the statutory governing-board or independent-review-panel procedure that applies to maintained schools and academies.</w:t>
      </w:r>
    </w:p>
    <w:p w14:paraId="39D7F3A8" w14:textId="77777777" w:rsidR="00FA199A" w:rsidRPr="00CB3F1E" w:rsidRDefault="00FB14C9" w:rsidP="00CB3F1E">
      <w:pPr>
        <w:spacing w:after="120" w:line="276" w:lineRule="auto"/>
        <w:rPr>
          <w:rFonts w:ascii="Arial" w:hAnsi="Arial"/>
          <w:sz w:val="24"/>
          <w:szCs w:val="24"/>
        </w:rPr>
      </w:pPr>
      <w:r>
        <w:rPr>
          <w:rFonts w:ascii="Arial" w:hAnsi="Arial" w:eastAsia="Arial"/>
          <w:sz w:val="24"/>
        </w:rPr>
        <w:t>Parents will be given reasonable notice of the review meeting. Reasonable adjustments will be made where a student or parent has a disability or communication need. The meeting will be private and handled confidentially, subject to legal and safeguarding requirements.</w:t>
      </w:r>
    </w:p>
    <w:p w14:paraId="2CAB3705"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9. Reaching a Decision</w:t>
      </w:r>
    </w:p>
    <w:p w14:paraId="3F6A7D2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review panel will consider how the decision was reached, whether the relevant facts were sufficiently established on the balance of probabilities, and whether the action taken was proportionate in the circumstances.</w:t>
      </w:r>
    </w:p>
    <w:p w14:paraId="734F2B4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panel may:</w:t>
      </w:r>
    </w:p>
    <w:p w14:paraId="3F3D6B1D" w14:textId="6DF85539" w:rsidR="00FA199A" w:rsidRPr="00CB3F1E" w:rsidRDefault="00FB14C9" w:rsidP="00FB14C9">
      <w:pPr>
        <w:pStyle w:val="ListParagraph"/>
        <w:numPr>
          <w:ilvl w:val="0"/>
          <w:numId w:val="9"/>
        </w:numPr>
        <w:spacing w:after="120" w:line="276" w:lineRule="auto"/>
        <w:ind w:left="397" w:hanging="198"/>
        <w:rPr>
          <w:rFonts w:ascii="Arial" w:hAnsi="Arial"/>
          <w:sz w:val="24"/>
          <w:szCs w:val="24"/>
        </w:rPr>
      </w:pPr>
      <w:r>
        <w:rPr>
          <w:rFonts w:ascii="Arial" w:hAnsi="Arial"/>
          <w:sz w:val="24"/>
        </w:rPr>
        <w:t>For a suspension review, uphold the Headteacher's decision or recommend that the Headteacher reconsider the decision or its length.</w:t>
      </w:r>
    </w:p>
    <w:p w14:paraId="3243034A" w14:textId="2C36BB24" w:rsidR="00FA199A" w:rsidRPr="00CB3F1E" w:rsidRDefault="00FB14C9" w:rsidP="00FB14C9">
      <w:pPr>
        <w:pStyle w:val="ListParagraph"/>
        <w:numPr>
          <w:ilvl w:val="0"/>
          <w:numId w:val="9"/>
        </w:numPr>
        <w:spacing w:after="120" w:line="276" w:lineRule="auto"/>
        <w:ind w:left="397" w:hanging="198"/>
        <w:rPr>
          <w:rFonts w:ascii="Arial" w:hAnsi="Arial"/>
          <w:sz w:val="24"/>
          <w:szCs w:val="24"/>
        </w:rPr>
      </w:pPr>
      <w:r>
        <w:rPr>
          <w:rFonts w:ascii="Arial" w:hAnsi="Arial"/>
          <w:sz w:val="24"/>
        </w:rPr>
        <w:t>For a permanent exclusion review, uphold the decision, set it aside and direct reinstatement, or remit the matter to the Headteacher for reconsideration with specified procedural directions.</w:t>
      </w:r>
    </w:p>
    <w:p w14:paraId="4FE1F9DC" w14:textId="4AB63004" w:rsidR="00FA199A" w:rsidRPr="00CB3F1E" w:rsidRDefault="00FB14C9" w:rsidP="00FB14C9">
      <w:pPr>
        <w:pStyle w:val="ListParagraph"/>
        <w:numPr>
          <w:ilvl w:val="0"/>
          <w:numId w:val="9"/>
        </w:numPr>
        <w:spacing w:after="120" w:line="276" w:lineRule="auto"/>
        <w:ind w:left="397" w:hanging="198"/>
        <w:rPr>
          <w:rFonts w:ascii="Arial" w:hAnsi="Arial"/>
          <w:sz w:val="24"/>
          <w:szCs w:val="24"/>
        </w:rPr>
      </w:pPr>
      <w:r>
        <w:rPr>
          <w:rFonts w:ascii="Arial" w:hAnsi="Arial"/>
          <w:sz w:val="24"/>
        </w:rPr>
        <w:t>Identify procedural, support, safeguarding, SEND, equality, training or policy actions that should be addressed.</w:t>
      </w:r>
    </w:p>
    <w:p w14:paraId="2B3B4DCE"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outcome and reasons will be communicated in writing to the Headteacher and parents as soon as reasonably practicable, normally within three working days of the review. Where reconsideration is recommended, the Headteacher will respond promptly. The outcome of the internal review will be final within the school process, without affecting any separate statutory rights that may exist in relation to discrimination, an EHC plan, local-authority decisions or safeguarding matters.</w:t>
      </w:r>
    </w:p>
    <w:p w14:paraId="1D24AC5C"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lastRenderedPageBreak/>
        <w:t>10. Reintegration Following Suspension</w:t>
      </w:r>
    </w:p>
    <w:p w14:paraId="22F4F4B4"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Following a suspension, the school will plan a supported return. A reintegration meeting will normally take place before or on the student's return and will involve the student, parents and relevant staff. The SENCO, DSL or other professionals may attend where appropriate.</w:t>
      </w:r>
    </w:p>
    <w:p w14:paraId="2A5C6878" w14:textId="77777777" w:rsidR="00FA199A" w:rsidRPr="00CB3F1E" w:rsidRDefault="00FB14C9" w:rsidP="00CB3F1E">
      <w:pPr>
        <w:spacing w:after="120" w:line="276" w:lineRule="auto"/>
        <w:rPr>
          <w:rFonts w:ascii="Arial" w:hAnsi="Arial"/>
          <w:sz w:val="24"/>
          <w:szCs w:val="24"/>
        </w:rPr>
      </w:pPr>
      <w:r>
        <w:rPr>
          <w:rFonts w:ascii="Arial" w:hAnsi="Arial" w:eastAsia="Arial"/>
          <w:sz w:val="24"/>
        </w:rPr>
        <w:t>The reintegration plan may include a clear fresh-start message, reasonable adjustments, restorative work where suitable and freely undertaken, changes to risk assessments, a named pastoral contact or mentor, additional supervision, therapeutic or pastoral support, SEND provision, revised communication strategies, liaison with external professionals and regular review dates with the student and parents.</w:t>
      </w:r>
    </w:p>
    <w:p w14:paraId="36209D95"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 student will not be kept out of school beyond the end of a suspension because a parent cannot attend a reintegration meeting or because an additional condition has not been met, unless a separate lawful safeguarding or placement arrangement applies.</w:t>
      </w:r>
    </w:p>
    <w:p w14:paraId="1C4A3CBD"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11. Off-Rolling and Removal from Roll</w:t>
      </w:r>
    </w:p>
    <w:p w14:paraId="6708EFCE"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Dovecote will not use informal or coercive practices to remove a student from education for the benefit of the school rather than the student. In particular, the school will not send a student home for disciplinary reasons without recording a formal suspension, use a part-time timetable as a disciplinary sanction, pressure parents to withdraw a student, or describe a disciplinary exclusion as a voluntary withdrawal </w:t>
      </w:r>
      <w:proofErr w:type="gramStart"/>
      <w:r w:rsidRPr="00CB3F1E">
        <w:rPr>
          <w:rFonts w:ascii="Arial" w:hAnsi="Arial"/>
          <w:sz w:val="24"/>
          <w:szCs w:val="24"/>
        </w:rPr>
        <w:t>in order to</w:t>
      </w:r>
      <w:proofErr w:type="gramEnd"/>
      <w:r w:rsidRPr="00CB3F1E">
        <w:rPr>
          <w:rFonts w:ascii="Arial" w:hAnsi="Arial"/>
          <w:sz w:val="24"/>
          <w:szCs w:val="24"/>
        </w:rPr>
        <w:t xml:space="preserve"> avoid scrutiny.</w:t>
      </w:r>
    </w:p>
    <w:p w14:paraId="5CE4A72C" w14:textId="77777777" w:rsidR="00FA199A" w:rsidRPr="00CB3F1E" w:rsidRDefault="00FB14C9" w:rsidP="00CB3F1E">
      <w:pPr>
        <w:spacing w:after="120" w:line="276" w:lineRule="auto"/>
        <w:rPr>
          <w:rFonts w:ascii="Arial" w:hAnsi="Arial"/>
          <w:sz w:val="24"/>
          <w:szCs w:val="24"/>
        </w:rPr>
      </w:pPr>
      <w:r>
        <w:rPr>
          <w:rFonts w:ascii="Arial" w:hAnsi="Arial" w:eastAsia="Arial"/>
          <w:sz w:val="24"/>
        </w:rPr>
        <w:t>Removal from the admission register will only take place on a lawful ground and in accordance with the School Attendance (Pupil Registration) (England) Regulations 2024. Any required deletion return or notification will be completed, and removal will not be backdated to disguise absence or avoid scrutiny. The school will retain a clear record of serious sanctions, including the reason, dates, decision-maker, duration and outcome of any review. Where a student permanently leaves Dovecote, safeguarding information will be transferred securely and promptly in accordance with DC008 and KCSIE 2026, and the school will work with the local authority or commissioner to support continuity of education where applicable.</w:t>
      </w:r>
    </w:p>
    <w:p w14:paraId="4AEE2E0E"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t>12. Monitoring and Review</w:t>
      </w:r>
    </w:p>
    <w:p w14:paraId="2E69BE95" w14:textId="77777777" w:rsidR="00FA199A" w:rsidRPr="00CB3F1E" w:rsidRDefault="00FB14C9" w:rsidP="00CB3F1E">
      <w:pPr>
        <w:spacing w:after="120" w:line="276" w:lineRule="auto"/>
        <w:rPr>
          <w:rFonts w:ascii="Arial" w:hAnsi="Arial"/>
          <w:sz w:val="24"/>
          <w:szCs w:val="24"/>
        </w:rPr>
      </w:pPr>
      <w:r>
        <w:rPr>
          <w:rFonts w:ascii="Arial" w:hAnsi="Arial" w:eastAsia="Arial"/>
          <w:sz w:val="24"/>
        </w:rPr>
        <w:t>The Headteacher will monitor suspensions, permanent exclusions and safeguarding separations from site at least termly. Review will cover the number and reasons for serious sanctions; repeat suspensions and the effectiveness of support plans; patterns by age and, where numbers permit meaningful analysis, protected characteristic, SEND and EHC-plan status; safeguarding concerns; the consistency of decisions with the Behaviour Policy; any concern about off-rolling or pressure on families; and lessons for provision, staff training and student support. Analysis will be proportionate to Dovecote's cohort size and will not draw unsupported conclusions from very small numbers.</w:t>
      </w:r>
    </w:p>
    <w:p w14:paraId="29C11865" w14:textId="77777777" w:rsidR="00FA199A" w:rsidRPr="00CB3F1E" w:rsidRDefault="00FB14C9" w:rsidP="00CB3F1E">
      <w:pPr>
        <w:spacing w:after="120" w:line="276" w:lineRule="auto"/>
        <w:rPr>
          <w:rFonts w:ascii="Arial" w:hAnsi="Arial"/>
          <w:sz w:val="24"/>
          <w:szCs w:val="24"/>
        </w:rPr>
      </w:pPr>
      <w:r>
        <w:rPr>
          <w:rFonts w:ascii="Arial" w:hAnsi="Arial" w:eastAsia="Arial"/>
          <w:sz w:val="24"/>
        </w:rPr>
        <w:t>The Dovecote School Governance Body and Cavendish Education will receive appropriate oversight information in accordance with governance arrangements. A final permanent exclusion will be reported to Cavendish Education's designated central lead at the earliest opportunity and normally within one school day. Information will be limited to what recipients need for their role and will be handled in accordance with safeguarding and data-protection requirements.</w:t>
      </w:r>
    </w:p>
    <w:p w14:paraId="6FD1B25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This policy will be reviewed annually, and earlier where there are significant changes to legislation, KCSIE, DfE guidance, Independent School Standards, Cavendish Education requirements or Dovecote practice.</w:t>
      </w:r>
    </w:p>
    <w:p w14:paraId="5AB43AD4" w14:textId="77777777" w:rsidR="00FA199A" w:rsidRDefault="00FB14C9" w:rsidP="00CB3F1E">
      <w:pPr>
        <w:spacing w:after="100" w:line="276" w:lineRule="auto"/>
        <w:rPr>
          <w:rFonts w:ascii="Arial" w:hAnsi="Arial"/>
          <w:sz w:val="24"/>
          <w:szCs w:val="24"/>
        </w:rPr>
      </w:pPr>
      <w:r w:rsidRPr="00CB3F1E">
        <w:rPr>
          <w:rFonts w:ascii="Arial" w:hAnsi="Arial"/>
          <w:sz w:val="24"/>
          <w:szCs w:val="24"/>
        </w:rPr>
        <w:t>All staff will be expected to familiarise themselves with this policy as appropriate to their role.</w:t>
      </w:r>
    </w:p>
    <w:p w14:paraId="10DFB6F8" w14:textId="77777777" w:rsidR="00CB3F1E" w:rsidRPr="00CB3F1E" w:rsidRDefault="00CB3F1E" w:rsidP="00CB3F1E">
      <w:pPr>
        <w:spacing w:after="100" w:line="276" w:lineRule="auto"/>
        <w:rPr>
          <w:rFonts w:ascii="Arial" w:hAnsi="Arial"/>
          <w:sz w:val="24"/>
          <w:szCs w:val="24"/>
        </w:rPr>
      </w:pPr>
    </w:p>
    <w:p w14:paraId="4F41B4E6"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 w:val="24"/>
          <w:szCs w:val="24"/>
        </w:rPr>
        <w:lastRenderedPageBreak/>
        <w:t>13. Links with Other Dovecote Policies</w:t>
      </w:r>
    </w:p>
    <w:tbl>
      <w:tblPr>
        <w:tblStyle w:val="TableGrid"/>
        <w:tblW w:w="0" w:type="auto"/>
        <w:jc w:val="center"/>
        <w:tblLook w:val="04A0" w:firstRow="1" w:lastRow="0" w:firstColumn="1" w:lastColumn="0" w:noHBand="0" w:noVBand="1"/>
      </w:tblPr>
      <w:tblGrid>
        <w:gridCol w:w="1271"/>
        <w:gridCol w:w="5954"/>
      </w:tblGrid>
      <w:tr w:rsidR="00FA199A" w:rsidRPr="00CB3F1E" w14:paraId="6F3AB2D3" w14:textId="77777777" w:rsidTr="00CB3F1E">
        <w:trPr>
          <w:cantSplit/>
          <w:tblHeader/>
          <w:jc w:val="center"/>
        </w:trPr>
        <w:tc>
          <w:tcPr>
            <w:tcW w:w="1271" w:type="dxa"/>
            <w:shd w:val="clear" w:color="auto" w:fill="D9EAF7"/>
            <w:tcMar>
              <w:top w:w="80" w:type="dxa"/>
              <w:left w:w="100" w:type="dxa"/>
              <w:bottom w:w="80" w:type="dxa"/>
              <w:right w:w="100" w:type="dxa"/>
            </w:tcMar>
            <w:vAlign w:val="center"/>
          </w:tcPr>
          <w:p w14:paraId="26C5CC40" w14:textId="77777777" w:rsidR="00FA199A" w:rsidRPr="00CB3F1E" w:rsidRDefault="00FB14C9" w:rsidP="00CB3F1E">
            <w:pPr>
              <w:spacing w:line="276" w:lineRule="auto"/>
              <w:rPr>
                <w:rFonts w:ascii="Arial" w:hAnsi="Arial"/>
                <w:sz w:val="24"/>
                <w:szCs w:val="24"/>
              </w:rPr>
            </w:pPr>
            <w:r w:rsidRPr="00CB3F1E">
              <w:rPr>
                <w:rFonts w:ascii="Arial" w:hAnsi="Arial" w:eastAsia="Arial"/>
                <w:b/>
                <w:sz w:val="24"/>
                <w:szCs w:val="24"/>
              </w:rPr>
              <w:t>Ref</w:t>
            </w:r>
          </w:p>
        </w:tc>
        <w:tc>
          <w:tcPr>
            <w:tcW w:w="5954" w:type="dxa"/>
            <w:shd w:val="clear" w:color="auto" w:fill="D9EAF7"/>
            <w:tcMar>
              <w:top w:w="80" w:type="dxa"/>
              <w:left w:w="100" w:type="dxa"/>
              <w:bottom w:w="80" w:type="dxa"/>
              <w:right w:w="100" w:type="dxa"/>
            </w:tcMar>
            <w:vAlign w:val="center"/>
          </w:tcPr>
          <w:p w14:paraId="0D396DEC" w14:textId="77777777" w:rsidR="00FA199A" w:rsidRPr="00CB3F1E" w:rsidRDefault="00FB14C9" w:rsidP="00CB3F1E">
            <w:pPr>
              <w:spacing w:line="276" w:lineRule="auto"/>
              <w:rPr>
                <w:rFonts w:ascii="Arial" w:hAnsi="Arial"/>
                <w:sz w:val="24"/>
                <w:szCs w:val="24"/>
              </w:rPr>
            </w:pPr>
            <w:r w:rsidRPr="00CB3F1E">
              <w:rPr>
                <w:rFonts w:ascii="Arial" w:hAnsi="Arial" w:eastAsia="Arial"/>
                <w:b/>
                <w:sz w:val="24"/>
                <w:szCs w:val="24"/>
              </w:rPr>
              <w:t>Policy / Document</w:t>
            </w:r>
          </w:p>
        </w:tc>
      </w:tr>
      <w:tr w:rsidR="00FA199A" w:rsidRPr="00CB3F1E" w14:paraId="2519A5D8" w14:textId="77777777" w:rsidTr="00CB3F1E">
        <w:trPr>
          <w:cantSplit/>
          <w:jc w:val="center"/>
        </w:trPr>
        <w:tc>
          <w:tcPr>
            <w:tcW w:w="1271" w:type="dxa"/>
            <w:tcMar>
              <w:top w:w="80" w:type="dxa"/>
              <w:left w:w="100" w:type="dxa"/>
              <w:bottom w:w="80" w:type="dxa"/>
              <w:right w:w="100" w:type="dxa"/>
            </w:tcMar>
            <w:vAlign w:val="center"/>
          </w:tcPr>
          <w:p w14:paraId="39EB3C6B"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DC003</w:t>
            </w:r>
          </w:p>
        </w:tc>
        <w:tc>
          <w:tcPr>
            <w:tcW w:w="5954" w:type="dxa"/>
            <w:tcMar>
              <w:top w:w="80" w:type="dxa"/>
              <w:left w:w="100" w:type="dxa"/>
              <w:bottom w:w="80" w:type="dxa"/>
              <w:right w:w="100" w:type="dxa"/>
            </w:tcMar>
            <w:vAlign w:val="center"/>
          </w:tcPr>
          <w:p w14:paraId="1079A0C7"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Admissions Policy</w:t>
            </w:r>
          </w:p>
        </w:tc>
      </w:tr>
      <w:tr w:rsidR="00FA199A" w:rsidRPr="00CB3F1E" w14:paraId="79DAB0A6" w14:textId="77777777" w:rsidTr="00CB3F1E">
        <w:trPr>
          <w:cantSplit/>
          <w:jc w:val="center"/>
        </w:trPr>
        <w:tc>
          <w:tcPr>
            <w:tcW w:w="1271" w:type="dxa"/>
            <w:tcMar>
              <w:top w:w="80" w:type="dxa"/>
              <w:left w:w="100" w:type="dxa"/>
              <w:bottom w:w="80" w:type="dxa"/>
              <w:right w:w="100" w:type="dxa"/>
            </w:tcMar>
            <w:vAlign w:val="center"/>
          </w:tcPr>
          <w:p w14:paraId="63FC281B"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DC008</w:t>
            </w:r>
          </w:p>
        </w:tc>
        <w:tc>
          <w:tcPr>
            <w:tcW w:w="5954" w:type="dxa"/>
            <w:tcMar>
              <w:top w:w="80" w:type="dxa"/>
              <w:left w:w="100" w:type="dxa"/>
              <w:bottom w:w="80" w:type="dxa"/>
              <w:right w:w="100" w:type="dxa"/>
            </w:tcMar>
            <w:vAlign w:val="center"/>
          </w:tcPr>
          <w:p w14:paraId="5B9B8F70"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Child Protection and Safeguarding Policy</w:t>
            </w:r>
          </w:p>
        </w:tc>
      </w:tr>
      <w:tr w:rsidR="00FA199A" w:rsidRPr="00CB3F1E" w14:paraId="387208A4" w14:textId="77777777" w:rsidTr="00CB3F1E">
        <w:trPr>
          <w:cantSplit/>
          <w:jc w:val="center"/>
        </w:trPr>
        <w:tc>
          <w:tcPr>
            <w:tcW w:w="1271" w:type="dxa"/>
            <w:tcMar>
              <w:top w:w="80" w:type="dxa"/>
              <w:left w:w="100" w:type="dxa"/>
              <w:bottom w:w="80" w:type="dxa"/>
              <w:right w:w="100" w:type="dxa"/>
            </w:tcMar>
            <w:vAlign w:val="center"/>
          </w:tcPr>
          <w:p w14:paraId="55B7BEE6"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DC009</w:t>
            </w:r>
          </w:p>
        </w:tc>
        <w:tc>
          <w:tcPr>
            <w:tcW w:w="5954" w:type="dxa"/>
            <w:tcMar>
              <w:top w:w="80" w:type="dxa"/>
              <w:left w:w="100" w:type="dxa"/>
              <w:bottom w:w="80" w:type="dxa"/>
              <w:right w:w="100" w:type="dxa"/>
            </w:tcMar>
            <w:vAlign w:val="center"/>
          </w:tcPr>
          <w:p w14:paraId="05235B4B"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Complaints Policy and Procedures</w:t>
            </w:r>
          </w:p>
        </w:tc>
      </w:tr>
      <w:tr w:rsidR="00FA199A" w:rsidRPr="00CB3F1E" w14:paraId="7A240A57" w14:textId="77777777" w:rsidTr="00CB3F1E">
        <w:trPr>
          <w:cantSplit/>
          <w:jc w:val="center"/>
        </w:trPr>
        <w:tc>
          <w:tcPr>
            <w:tcW w:w="1271" w:type="dxa"/>
            <w:tcMar>
              <w:top w:w="80" w:type="dxa"/>
              <w:left w:w="100" w:type="dxa"/>
              <w:bottom w:w="80" w:type="dxa"/>
              <w:right w:w="100" w:type="dxa"/>
            </w:tcMar>
            <w:vAlign w:val="center"/>
          </w:tcPr>
          <w:p w14:paraId="09C23E7E"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DC017</w:t>
            </w:r>
          </w:p>
        </w:tc>
        <w:tc>
          <w:tcPr>
            <w:tcW w:w="5954" w:type="dxa"/>
            <w:tcMar>
              <w:top w:w="80" w:type="dxa"/>
              <w:left w:w="100" w:type="dxa"/>
              <w:bottom w:w="80" w:type="dxa"/>
              <w:right w:w="100" w:type="dxa"/>
            </w:tcMar>
            <w:vAlign w:val="center"/>
          </w:tcPr>
          <w:p w14:paraId="7BE4231D"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Behaviour (Building Positive Relationships) Policy</w:t>
            </w:r>
          </w:p>
        </w:tc>
      </w:tr>
      <w:tr w:rsidR="00FA199A" w:rsidRPr="00CB3F1E" w14:paraId="3AC6ED74" w14:textId="77777777" w:rsidTr="00CB3F1E">
        <w:trPr>
          <w:cantSplit/>
          <w:jc w:val="center"/>
        </w:trPr>
        <w:tc>
          <w:tcPr>
            <w:tcW w:w="1271" w:type="dxa"/>
            <w:tcMar>
              <w:top w:w="80" w:type="dxa"/>
              <w:left w:w="100" w:type="dxa"/>
              <w:bottom w:w="80" w:type="dxa"/>
              <w:right w:w="100" w:type="dxa"/>
            </w:tcMar>
            <w:vAlign w:val="center"/>
          </w:tcPr>
          <w:p w14:paraId="53ADA0B8"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DC022</w:t>
            </w:r>
          </w:p>
        </w:tc>
        <w:tc>
          <w:tcPr>
            <w:tcW w:w="5954" w:type="dxa"/>
            <w:tcMar>
              <w:top w:w="80" w:type="dxa"/>
              <w:left w:w="100" w:type="dxa"/>
              <w:bottom w:w="80" w:type="dxa"/>
              <w:right w:w="100" w:type="dxa"/>
            </w:tcMar>
            <w:vAlign w:val="center"/>
          </w:tcPr>
          <w:p w14:paraId="46FB8916"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Attendance Policy</w:t>
            </w:r>
          </w:p>
        </w:tc>
      </w:tr>
      <w:tr w:rsidR="00FA199A" w:rsidRPr="00CB3F1E" w14:paraId="608430DB" w14:textId="77777777" w:rsidTr="00CB3F1E">
        <w:trPr>
          <w:cantSplit/>
          <w:jc w:val="center"/>
        </w:trPr>
        <w:tc>
          <w:tcPr>
            <w:tcW w:w="1271" w:type="dxa"/>
            <w:tcMar>
              <w:top w:w="80" w:type="dxa"/>
              <w:left w:w="100" w:type="dxa"/>
              <w:bottom w:w="80" w:type="dxa"/>
              <w:right w:w="100" w:type="dxa"/>
            </w:tcMar>
            <w:vAlign w:val="center"/>
          </w:tcPr>
          <w:p w14:paraId="7C905A85"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DC025</w:t>
            </w:r>
          </w:p>
        </w:tc>
        <w:tc>
          <w:tcPr>
            <w:tcW w:w="5954" w:type="dxa"/>
            <w:tcMar>
              <w:top w:w="80" w:type="dxa"/>
              <w:left w:w="100" w:type="dxa"/>
              <w:bottom w:w="80" w:type="dxa"/>
              <w:right w:w="100" w:type="dxa"/>
            </w:tcMar>
            <w:vAlign w:val="center"/>
          </w:tcPr>
          <w:p w14:paraId="48EDA949"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Anti-Bullying Policy</w:t>
            </w:r>
          </w:p>
        </w:tc>
      </w:tr>
      <w:tr w:rsidR="00FA199A" w:rsidRPr="00CB3F1E" w14:paraId="188C4C74" w14:textId="77777777" w:rsidTr="00CB3F1E">
        <w:trPr>
          <w:cantSplit/>
          <w:jc w:val="center"/>
        </w:trPr>
        <w:tc>
          <w:tcPr>
            <w:tcW w:w="1271" w:type="dxa"/>
            <w:tcMar>
              <w:top w:w="80" w:type="dxa"/>
              <w:left w:w="100" w:type="dxa"/>
              <w:bottom w:w="80" w:type="dxa"/>
              <w:right w:w="100" w:type="dxa"/>
            </w:tcMar>
            <w:vAlign w:val="center"/>
          </w:tcPr>
          <w:p w14:paraId="4A532B82"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DC031</w:t>
            </w:r>
          </w:p>
        </w:tc>
        <w:tc>
          <w:tcPr>
            <w:tcW w:w="5954" w:type="dxa"/>
            <w:tcMar>
              <w:top w:w="80" w:type="dxa"/>
              <w:left w:w="100" w:type="dxa"/>
              <w:bottom w:w="80" w:type="dxa"/>
              <w:right w:w="100" w:type="dxa"/>
            </w:tcMar>
            <w:vAlign w:val="center"/>
          </w:tcPr>
          <w:p w14:paraId="73B8EDEB"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SEND Policy</w:t>
            </w:r>
          </w:p>
        </w:tc>
      </w:tr>
      <w:tr w:rsidR="00FA199A" w:rsidRPr="00CB3F1E" w14:paraId="07A16B53" w14:textId="77777777" w:rsidTr="00CB3F1E">
        <w:trPr>
          <w:cantSplit/>
          <w:jc w:val="center"/>
        </w:trPr>
        <w:tc>
          <w:tcPr>
            <w:tcW w:w="1271" w:type="dxa"/>
            <w:tcMar>
              <w:top w:w="80" w:type="dxa"/>
              <w:left w:w="100" w:type="dxa"/>
              <w:bottom w:w="80" w:type="dxa"/>
              <w:right w:w="100" w:type="dxa"/>
            </w:tcMar>
            <w:vAlign w:val="center"/>
          </w:tcPr>
          <w:p w14:paraId="595DD030"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DC038</w:t>
            </w:r>
          </w:p>
        </w:tc>
        <w:tc>
          <w:tcPr>
            <w:tcW w:w="5954" w:type="dxa"/>
            <w:tcMar>
              <w:top w:w="80" w:type="dxa"/>
              <w:left w:w="100" w:type="dxa"/>
              <w:bottom w:w="80" w:type="dxa"/>
              <w:right w:w="100" w:type="dxa"/>
            </w:tcMar>
            <w:vAlign w:val="center"/>
          </w:tcPr>
          <w:p w14:paraId="7F08974D"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Student Equality, Equity, Diversity and Inclusion Policy</w:t>
            </w:r>
          </w:p>
        </w:tc>
      </w:tr>
      <w:tr w:rsidR="00FA199A" w:rsidRPr="00CB3F1E" w14:paraId="102E7800" w14:textId="77777777" w:rsidTr="00CB3F1E">
        <w:trPr>
          <w:cantSplit/>
          <w:jc w:val="center"/>
        </w:trPr>
        <w:tc>
          <w:tcPr>
            <w:tcW w:w="1271" w:type="dxa"/>
            <w:tcMar>
              <w:top w:w="80" w:type="dxa"/>
              <w:left w:w="100" w:type="dxa"/>
              <w:bottom w:w="80" w:type="dxa"/>
              <w:right w:w="100" w:type="dxa"/>
            </w:tcMar>
            <w:vAlign w:val="center"/>
          </w:tcPr>
          <w:p w14:paraId="569EF67D"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DC041</w:t>
            </w:r>
          </w:p>
        </w:tc>
        <w:tc>
          <w:tcPr>
            <w:tcW w:w="5954" w:type="dxa"/>
            <w:tcMar>
              <w:top w:w="80" w:type="dxa"/>
              <w:left w:w="100" w:type="dxa"/>
              <w:bottom w:w="80" w:type="dxa"/>
              <w:right w:w="100" w:type="dxa"/>
            </w:tcMar>
            <w:vAlign w:val="center"/>
          </w:tcPr>
          <w:p w14:paraId="2B63011D"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Child-on-Child Abuse Policy</w:t>
            </w:r>
          </w:p>
        </w:tc>
      </w:tr>
      <w:tr w:rsidR="00FA199A" w:rsidRPr="00CB3F1E" w14:paraId="2E374937" w14:textId="77777777" w:rsidTr="00CB3F1E">
        <w:trPr>
          <w:cantSplit/>
          <w:jc w:val="center"/>
        </w:trPr>
        <w:tc>
          <w:tcPr>
            <w:tcW w:w="1271" w:type="dxa"/>
            <w:tcMar>
              <w:top w:w="80" w:type="dxa"/>
              <w:left w:w="100" w:type="dxa"/>
              <w:bottom w:w="80" w:type="dxa"/>
              <w:right w:w="100" w:type="dxa"/>
            </w:tcMar>
            <w:vAlign w:val="center"/>
          </w:tcPr>
          <w:p w14:paraId="61BE4FE5"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DC048</w:t>
            </w:r>
          </w:p>
        </w:tc>
        <w:tc>
          <w:tcPr>
            <w:tcW w:w="5954" w:type="dxa"/>
            <w:tcMar>
              <w:top w:w="80" w:type="dxa"/>
              <w:left w:w="100" w:type="dxa"/>
              <w:bottom w:w="80" w:type="dxa"/>
              <w:right w:w="100" w:type="dxa"/>
            </w:tcMar>
            <w:vAlign w:val="center"/>
          </w:tcPr>
          <w:p w14:paraId="5D0BF15C"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Restrictive Intervention and Use of Reasonable Force Policy</w:t>
            </w:r>
          </w:p>
        </w:tc>
      </w:tr>
      <w:tr w:rsidR="00FA199A" w:rsidRPr="00CB3F1E" w14:paraId="1072D86F" w14:textId="77777777" w:rsidTr="00CB3F1E">
        <w:trPr>
          <w:cantSplit/>
          <w:jc w:val="center"/>
        </w:trPr>
        <w:tc>
          <w:tcPr>
            <w:tcW w:w="1271" w:type="dxa"/>
            <w:tcMar>
              <w:top w:w="80" w:type="dxa"/>
              <w:left w:w="100" w:type="dxa"/>
              <w:bottom w:w="80" w:type="dxa"/>
              <w:right w:w="100" w:type="dxa"/>
            </w:tcMar>
            <w:vAlign w:val="center"/>
          </w:tcPr>
          <w:p w14:paraId="1A0080F3"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DC054</w:t>
            </w:r>
          </w:p>
        </w:tc>
        <w:tc>
          <w:tcPr>
            <w:tcW w:w="5954" w:type="dxa"/>
            <w:tcMar>
              <w:top w:w="80" w:type="dxa"/>
              <w:left w:w="100" w:type="dxa"/>
              <w:bottom w:w="80" w:type="dxa"/>
              <w:right w:w="100" w:type="dxa"/>
            </w:tcMar>
            <w:vAlign w:val="center"/>
          </w:tcPr>
          <w:p w14:paraId="205FA613"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Supporting Pupils with Medical Conditions Policy</w:t>
            </w:r>
          </w:p>
        </w:tc>
      </w:tr>
      <w:tr w:rsidR="00FA199A" w:rsidRPr="00CB3F1E" w14:paraId="173A223A" w14:textId="77777777" w:rsidTr="00CB3F1E">
        <w:trPr>
          <w:cantSplit/>
          <w:jc w:val="center"/>
        </w:trPr>
        <w:tc>
          <w:tcPr>
            <w:tcW w:w="1271" w:type="dxa"/>
            <w:tcMar>
              <w:top w:w="80" w:type="dxa"/>
              <w:left w:w="100" w:type="dxa"/>
              <w:bottom w:w="80" w:type="dxa"/>
              <w:right w:w="100" w:type="dxa"/>
            </w:tcMar>
            <w:vAlign w:val="center"/>
          </w:tcPr>
          <w:p w14:paraId="20E5D046"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DC065</w:t>
            </w:r>
          </w:p>
        </w:tc>
        <w:tc>
          <w:tcPr>
            <w:tcW w:w="5954" w:type="dxa"/>
            <w:tcMar>
              <w:top w:w="80" w:type="dxa"/>
              <w:left w:w="100" w:type="dxa"/>
              <w:bottom w:w="80" w:type="dxa"/>
              <w:right w:w="100" w:type="dxa"/>
            </w:tcMar>
            <w:vAlign w:val="center"/>
          </w:tcPr>
          <w:p w14:paraId="2B73DEE1"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Records Management</w:t>
            </w:r>
          </w:p>
        </w:tc>
      </w:tr>
      <w:tr w:rsidR="00FA199A" w:rsidRPr="00CB3F1E" w14:paraId="58C2A7B3" w14:textId="77777777" w:rsidTr="00CB3F1E">
        <w:trPr>
          <w:cantSplit/>
          <w:jc w:val="center"/>
        </w:trPr>
        <w:tc>
          <w:tcPr>
            <w:tcW w:w="1271" w:type="dxa"/>
            <w:tcMar>
              <w:top w:w="80" w:type="dxa"/>
              <w:left w:w="100" w:type="dxa"/>
              <w:bottom w:w="80" w:type="dxa"/>
              <w:right w:w="100" w:type="dxa"/>
            </w:tcMar>
            <w:vAlign w:val="center"/>
          </w:tcPr>
          <w:p w14:paraId="2C3FBF4C" w14:textId="77777777" w:rsidR="00FA199A" w:rsidRPr="00CB3F1E" w:rsidRDefault="00FB14C9" w:rsidP="00CB3F1E">
            <w:pPr>
              <w:spacing w:line="276" w:lineRule="auto"/>
              <w:jc w:val="center"/>
              <w:rPr>
                <w:rFonts w:ascii="Arial" w:hAnsi="Arial"/>
                <w:sz w:val="24"/>
                <w:szCs w:val="24"/>
              </w:rPr>
            </w:pPr>
            <w:r w:rsidRPr="00CB3F1E">
              <w:rPr>
                <w:rFonts w:ascii="Arial" w:hAnsi="Arial" w:eastAsia="Arial"/>
                <w:sz w:val="24"/>
                <w:szCs w:val="24"/>
              </w:rPr>
              <w:t>DC070</w:t>
            </w:r>
          </w:p>
        </w:tc>
        <w:tc>
          <w:tcPr>
            <w:tcW w:w="5954" w:type="dxa"/>
            <w:tcMar>
              <w:top w:w="80" w:type="dxa"/>
              <w:left w:w="100" w:type="dxa"/>
              <w:bottom w:w="80" w:type="dxa"/>
              <w:right w:w="100" w:type="dxa"/>
            </w:tcMar>
            <w:vAlign w:val="center"/>
          </w:tcPr>
          <w:p w14:paraId="249A913D" w14:textId="77777777" w:rsidR="00FA199A" w:rsidRPr="00CB3F1E" w:rsidRDefault="00FB14C9" w:rsidP="00CB3F1E">
            <w:pPr>
              <w:spacing w:line="276" w:lineRule="auto"/>
              <w:rPr>
                <w:rFonts w:ascii="Arial" w:hAnsi="Arial"/>
                <w:sz w:val="24"/>
                <w:szCs w:val="24"/>
              </w:rPr>
            </w:pPr>
            <w:r w:rsidRPr="00CB3F1E">
              <w:rPr>
                <w:rFonts w:ascii="Arial" w:hAnsi="Arial" w:eastAsia="Arial"/>
                <w:sz w:val="24"/>
                <w:szCs w:val="24"/>
              </w:rPr>
              <w:t>Children Missing Education</w:t>
            </w:r>
          </w:p>
        </w:tc>
      </w:tr>
      <w:tr>
        <w:trPr>
          <w:cantSplit/>
        </w:trPr>
        <w:tc>
          <w:tcPr>
            <w:tcW w:type="dxa" w:w="1271"/>
          </w:tcPr>
          <w:p>
            <w:r>
              <w:rPr>
                <w:rFonts w:ascii="Arial" w:hAnsi="Arial" w:eastAsia="Arial"/>
                <w:sz w:val="24"/>
              </w:rPr>
              <w:t>Local</w:t>
            </w:r>
          </w:p>
        </w:tc>
        <w:tc>
          <w:tcPr>
            <w:tcW w:type="dxa" w:w="5954"/>
          </w:tcPr>
          <w:p>
            <w:r>
              <w:rPr>
                <w:rFonts w:ascii="Arial" w:hAnsi="Arial" w:eastAsia="Arial"/>
                <w:sz w:val="24"/>
              </w:rPr>
              <w:t>Parent Contract / Terms and Conditions</w:t>
            </w:r>
          </w:p>
        </w:tc>
      </w:tr>
    </w:tbl>
    <w:p w14:paraId="3EA8765D" w14:textId="77777777" w:rsidR="00FB14C9" w:rsidRPr="00CB3F1E" w:rsidRDefault="00FB14C9" w:rsidP="00CB3F1E">
      <w:pPr>
        <w:spacing w:line="276" w:lineRule="auto"/>
        <w:rPr>
          <w:rFonts w:ascii="Arial" w:hAnsi="Arial"/>
          <w:sz w:val="24"/>
          <w:szCs w:val="24"/>
        </w:rPr>
      </w:pPr>
    </w:p>
    <w:p>
      <w:pPr>
        <w:pStyle w:val="Heading1"/>
        <w:keepNext/>
      </w:pPr>
      <w:r>
        <w:rPr>
          <w:rFonts w:ascii="Arial" w:hAnsi="Arial" w:eastAsia="Arial"/>
          <w:b/>
          <w:sz w:val="24"/>
        </w:rPr>
        <w:t>Appendix 1 - Decision Checklist</w:t>
      </w:r>
    </w:p>
    <w:p>
      <w:pPr>
        <w:spacing w:line="276" w:lineRule="auto" w:after="120"/>
      </w:pPr>
      <w:r>
        <w:rPr>
          <w:rFonts w:ascii="Arial" w:hAnsi="Arial" w:eastAsia="Arial"/>
          <w:sz w:val="24"/>
        </w:rPr>
        <w:t>This checklist supports consistent decision-making. It does not replace professional judgement or the full policy.</w:t>
      </w:r>
    </w:p>
    <w:p>
      <w:pPr>
        <w:spacing w:line="276" w:lineRule="auto" w:after="60"/>
        <w:ind w:left="397" w:hanging="198"/>
      </w:pPr>
      <w:r>
        <w:rPr>
          <w:rFonts w:ascii="Arial" w:hAnsi="Arial"/>
          <w:sz w:val="24"/>
        </w:rPr>
        <w:t>☐ Is the proposed action a disciplinary suspension or permanent exclusion, an internal separation, or a safeguarding separation from site? The basis must be explicit.</w:t>
      </w:r>
    </w:p>
    <w:p>
      <w:pPr>
        <w:spacing w:line="276" w:lineRule="auto" w:after="60"/>
        <w:ind w:left="397" w:hanging="198"/>
      </w:pPr>
      <w:r>
        <w:rPr>
          <w:rFonts w:ascii="Arial" w:hAnsi="Arial"/>
          <w:sz w:val="24"/>
        </w:rPr>
        <w:t>☐ What provision of the Behaviour Policy and, where relevant, the parent contract or commissioning arrangements is engaged?</w:t>
      </w:r>
    </w:p>
    <w:p>
      <w:pPr>
        <w:spacing w:line="276" w:lineRule="auto" w:after="60"/>
        <w:ind w:left="397" w:hanging="198"/>
      </w:pPr>
      <w:r>
        <w:rPr>
          <w:rFonts w:ascii="Arial" w:hAnsi="Arial"/>
          <w:sz w:val="24"/>
        </w:rPr>
        <w:t>☐ What facts are established on the balance of probabilities and what evidence supports them?</w:t>
      </w:r>
    </w:p>
    <w:p>
      <w:pPr>
        <w:spacing w:line="276" w:lineRule="auto" w:after="60"/>
        <w:ind w:left="397" w:hanging="198"/>
      </w:pPr>
      <w:r>
        <w:rPr>
          <w:rFonts w:ascii="Arial" w:hAnsi="Arial"/>
          <w:sz w:val="24"/>
        </w:rPr>
        <w:t>☐ Has the student had a meaningful and accessible opportunity to give their account?</w:t>
      </w:r>
    </w:p>
    <w:p>
      <w:pPr>
        <w:spacing w:line="276" w:lineRule="auto" w:after="60"/>
        <w:ind w:left="397" w:hanging="198"/>
      </w:pPr>
      <w:r>
        <w:rPr>
          <w:rFonts w:ascii="Arial" w:hAnsi="Arial"/>
          <w:sz w:val="24"/>
        </w:rPr>
        <w:t>☐ Have relevant SEND, disability, EHC-plan, safeguarding, care-status and vulnerability factors been considered?</w:t>
      </w:r>
    </w:p>
    <w:p>
      <w:pPr>
        <w:spacing w:line="276" w:lineRule="auto" w:after="60"/>
        <w:ind w:left="397" w:hanging="198"/>
      </w:pPr>
      <w:r>
        <w:rPr>
          <w:rFonts w:ascii="Arial" w:hAnsi="Arial"/>
          <w:sz w:val="24"/>
        </w:rPr>
        <w:t>☐ Have reasonable adjustments, additional support and proportionate alternatives been considered?</w:t>
      </w:r>
    </w:p>
    <w:p>
      <w:pPr>
        <w:spacing w:line="276" w:lineRule="auto" w:after="60"/>
        <w:ind w:left="397" w:hanging="198"/>
      </w:pPr>
      <w:r>
        <w:rPr>
          <w:rFonts w:ascii="Arial" w:hAnsi="Arial"/>
          <w:sz w:val="24"/>
        </w:rPr>
        <w:t>☐ Has the DSL been consulted where a safeguarding issue arises?</w:t>
      </w:r>
    </w:p>
    <w:p>
      <w:pPr>
        <w:spacing w:line="276" w:lineRule="auto" w:after="60"/>
        <w:ind w:left="397" w:hanging="198"/>
      </w:pPr>
      <w:r>
        <w:rPr>
          <w:rFonts w:ascii="Arial" w:hAnsi="Arial"/>
          <w:sz w:val="24"/>
        </w:rPr>
        <w:t>☐ Is the proposed action necessary and proportionate, and are the reasons recorded?</w:t>
      </w:r>
    </w:p>
    <w:p>
      <w:pPr>
        <w:spacing w:line="276" w:lineRule="auto" w:after="60"/>
        <w:ind w:left="397" w:hanging="198"/>
      </w:pPr>
      <w:r>
        <w:rPr>
          <w:rFonts w:ascii="Arial" w:hAnsi="Arial"/>
          <w:sz w:val="24"/>
        </w:rPr>
        <w:t>☐ Have parents been notified promptly and in writing?</w:t>
      </w:r>
    </w:p>
    <w:p>
      <w:pPr>
        <w:spacing w:line="276" w:lineRule="auto" w:after="60"/>
        <w:ind w:left="397" w:hanging="198"/>
      </w:pPr>
      <w:r>
        <w:rPr>
          <w:rFonts w:ascii="Arial" w:hAnsi="Arial"/>
          <w:sz w:val="24"/>
        </w:rPr>
        <w:t>☐ Has the sanction or safeguarding separation been recorded on the appropriate school systems?</w:t>
      </w:r>
    </w:p>
    <w:p>
      <w:pPr>
        <w:spacing w:line="276" w:lineRule="auto" w:after="60"/>
        <w:ind w:left="397" w:hanging="198"/>
      </w:pPr>
      <w:r>
        <w:rPr>
          <w:rFonts w:ascii="Arial" w:hAnsi="Arial"/>
          <w:sz w:val="24"/>
        </w:rPr>
        <w:t>☐ If permanent exclusion is being considered, has Cavendish Education's Director of Risk or designated central compliance lead been notified and the Chair of the Governance Body kept informed?</w:t>
      </w:r>
    </w:p>
    <w:p>
      <w:pPr>
        <w:spacing w:line="276" w:lineRule="auto" w:after="60"/>
        <w:ind w:left="397" w:hanging="198"/>
      </w:pPr>
      <w:r>
        <w:rPr>
          <w:rFonts w:ascii="Arial" w:hAnsi="Arial"/>
          <w:sz w:val="24"/>
        </w:rPr>
        <w:t>☐ If permanent exclusion is decided, have internal review rights and contractual or commissioning consequences been explained?</w:t>
      </w:r>
    </w:p>
    <w:p>
      <w:pPr>
        <w:pStyle w:val="Heading1"/>
        <w:keepNext/>
      </w:pPr>
      <w:r>
        <w:rPr>
          <w:rFonts w:ascii="Arial" w:hAnsi="Arial" w:eastAsia="Arial"/>
          <w:b/>
          <w:sz w:val="24"/>
        </w:rPr>
        <w:t>Appendix 2 - Letter Templates</w:t>
      </w:r>
    </w:p>
    <w:p>
      <w:pPr>
        <w:pStyle w:val="Heading1"/>
        <w:keepNext/>
      </w:pPr>
      <w:r>
        <w:rPr>
          <w:rFonts w:ascii="Arial" w:hAnsi="Arial" w:eastAsia="Arial"/>
          <w:b/>
          <w:sz w:val="24"/>
        </w:rPr>
        <w:t>Appendix 2.1 - Fixed-Period Suspension</w:t>
      </w:r>
    </w:p>
    <w:p>
      <w:pPr>
        <w:spacing w:line="276" w:lineRule="auto" w:after="120"/>
      </w:pPr>
      <w:r>
        <w:rPr>
          <w:rFonts w:ascii="Arial" w:hAnsi="Arial" w:eastAsia="Arial"/>
          <w:sz w:val="24"/>
        </w:rPr>
        <w:t>Dear [NAME],</w:t>
      </w:r>
    </w:p>
    <w:p>
      <w:pPr>
        <w:spacing w:line="276" w:lineRule="auto" w:after="120"/>
      </w:pPr>
      <w:r>
        <w:rPr>
          <w:rFonts w:ascii="Arial" w:hAnsi="Arial" w:eastAsia="Arial"/>
          <w:sz w:val="24"/>
        </w:rPr>
        <w:t>I write to confirm my decision that [STUDENT] is suspended from [START DATE/TIME] until [END DATE/TIME]. This is a disciplinary suspension under Dovecote School's Behaviour Policy and Suspensions and Permanent Exclusions Policy.</w:t>
      </w:r>
    </w:p>
    <w:p>
      <w:pPr>
        <w:spacing w:line="276" w:lineRule="auto" w:after="120"/>
      </w:pPr>
      <w:r>
        <w:rPr>
          <w:rFonts w:ascii="Arial" w:hAnsi="Arial" w:eastAsia="Arial"/>
          <w:sz w:val="24"/>
        </w:rPr>
        <w:t>The reason for the suspension is: [CONCISE REASON, FINDINGS AND RELEVANT POLICY PROVISION].</w:t>
      </w:r>
    </w:p>
    <w:p>
      <w:pPr>
        <w:spacing w:line="276" w:lineRule="auto" w:after="120"/>
      </w:pPr>
      <w:r>
        <w:rPr>
          <w:rFonts w:ascii="Arial" w:hAnsi="Arial" w:eastAsia="Arial"/>
          <w:sz w:val="24"/>
        </w:rPr>
        <w:t>During the suspension, Dovecote School will [SET OUT EDUCATION, CONTACT AND SUPPORT ARRANGEMENTS]. [STUDENT] is expected to [ANY REASONABLE EXPECTATIONS].</w:t>
      </w:r>
    </w:p>
    <w:p>
      <w:pPr>
        <w:spacing w:line="276" w:lineRule="auto" w:after="120"/>
      </w:pPr>
      <w:r>
        <w:rPr>
          <w:rFonts w:ascii="Arial" w:hAnsi="Arial" w:eastAsia="Arial"/>
          <w:sz w:val="24"/>
        </w:rPr>
        <w:t>A reintegration meeting is proposed for [DATE/TIME] with [ROLE]. You are invited to attend. The meeting is intended to support a successful return; [STUDENT] will not be prevented from returning solely because you cannot attend.</w:t>
      </w:r>
    </w:p>
    <w:p>
      <w:pPr>
        <w:spacing w:line="276" w:lineRule="auto" w:after="120"/>
      </w:pPr>
      <w:r>
        <w:rPr>
          <w:rFonts w:ascii="Arial" w:hAnsi="Arial" w:eastAsia="Arial"/>
          <w:sz w:val="24"/>
        </w:rPr>
        <w:t>If you have questions about this decision, please contact [ROLE/CONTACT DETAILS].</w:t>
      </w:r>
    </w:p>
    <w:p>
      <w:pPr>
        <w:spacing w:line="276" w:lineRule="auto" w:after="120"/>
      </w:pPr>
      <w:r>
        <w:rPr>
          <w:rFonts w:ascii="Arial" w:hAnsi="Arial" w:eastAsia="Arial"/>
          <w:sz w:val="24"/>
        </w:rPr>
        <w:t>Yours sincerely,</w:t>
        <w:br/>
        <w:t>Headteacher</w:t>
      </w:r>
    </w:p>
    <w:p>
      <w:pPr>
        <w:pStyle w:val="Heading1"/>
        <w:keepNext/>
      </w:pPr>
      <w:r>
        <w:rPr>
          <w:rFonts w:ascii="Arial" w:hAnsi="Arial" w:eastAsia="Arial"/>
          <w:b/>
          <w:sz w:val="24"/>
        </w:rPr>
        <w:t>Appendix 2.2 - Temporary Safeguarding Separation from Site</w:t>
      </w:r>
    </w:p>
    <w:p>
      <w:pPr>
        <w:spacing w:line="276" w:lineRule="auto" w:after="120"/>
      </w:pPr>
      <w:r>
        <w:rPr>
          <w:rFonts w:ascii="Arial" w:hAnsi="Arial" w:eastAsia="Arial"/>
          <w:sz w:val="24"/>
        </w:rPr>
        <w:t>Dear [NAME],</w:t>
      </w:r>
    </w:p>
    <w:p>
      <w:pPr>
        <w:spacing w:line="276" w:lineRule="auto" w:after="120"/>
      </w:pPr>
      <w:r>
        <w:rPr>
          <w:rFonts w:ascii="Arial" w:hAnsi="Arial" w:eastAsia="Arial"/>
          <w:sz w:val="24"/>
        </w:rPr>
        <w:t>I write to confirm a temporary safeguarding arrangement under Dovecote School's Suspensions and Permanent Exclusions Policy. This is not a disciplinary suspension.</w:t>
      </w:r>
    </w:p>
    <w:p>
      <w:pPr>
        <w:spacing w:line="276" w:lineRule="auto" w:after="120"/>
      </w:pPr>
      <w:r>
        <w:rPr>
          <w:rFonts w:ascii="Arial" w:hAnsi="Arial" w:eastAsia="Arial"/>
          <w:sz w:val="24"/>
        </w:rPr>
        <w:t>Following a safeguarding risk assessment, the school has concluded that [STUDENT] should not attend the school site from [DATE/TIME] until the review on [DATE/TIME], because [PROVIDE INFORMATION THAT CAN LAWFULLY AND SAFELY BE SHARED].</w:t>
      </w:r>
    </w:p>
    <w:p>
      <w:pPr>
        <w:spacing w:line="276" w:lineRule="auto" w:after="120"/>
      </w:pPr>
      <w:r>
        <w:rPr>
          <w:rFonts w:ascii="Arial" w:hAnsi="Arial" w:eastAsia="Arial"/>
          <w:sz w:val="24"/>
        </w:rPr>
        <w:t>During this period the school will [EDUCATION, CONTACT AND SUPPORT ARRANGEMENTS]. The arrangement will be reviewed on [DATE] and sooner if circumstances materially change. Our aim is for normal attendance to resume as soon as the identified risk can be managed safely.</w:t>
      </w:r>
    </w:p>
    <w:p>
      <w:pPr>
        <w:spacing w:line="276" w:lineRule="auto" w:after="120"/>
      </w:pPr>
      <w:r>
        <w:rPr>
          <w:rFonts w:ascii="Arial" w:hAnsi="Arial" w:eastAsia="Arial"/>
          <w:sz w:val="24"/>
        </w:rPr>
        <w:t>Please contact [DSL/HEADTEACHER] if you wish to discuss the arrangements.</w:t>
      </w:r>
    </w:p>
    <w:p>
      <w:pPr>
        <w:spacing w:line="276" w:lineRule="auto" w:after="120"/>
      </w:pPr>
      <w:r>
        <w:rPr>
          <w:rFonts w:ascii="Arial" w:hAnsi="Arial" w:eastAsia="Arial"/>
          <w:sz w:val="24"/>
        </w:rPr>
        <w:t>Yours sincerely,</w:t>
        <w:br/>
        <w:t>Headteacher</w:t>
      </w:r>
    </w:p>
    <w:p>
      <w:pPr>
        <w:pStyle w:val="Heading1"/>
        <w:keepNext/>
      </w:pPr>
      <w:r>
        <w:rPr>
          <w:rFonts w:ascii="Arial" w:hAnsi="Arial" w:eastAsia="Arial"/>
          <w:b/>
          <w:sz w:val="24"/>
        </w:rPr>
        <w:t>Appendix 2.3 - Permanent Exclusion</w:t>
      </w:r>
    </w:p>
    <w:p>
      <w:pPr>
        <w:spacing w:line="276" w:lineRule="auto" w:after="120"/>
      </w:pPr>
      <w:r>
        <w:rPr>
          <w:rFonts w:ascii="Arial" w:hAnsi="Arial" w:eastAsia="Arial"/>
          <w:sz w:val="24"/>
        </w:rPr>
        <w:t>Dear [NAME],</w:t>
      </w:r>
    </w:p>
    <w:p>
      <w:pPr>
        <w:spacing w:line="276" w:lineRule="auto" w:after="120"/>
      </w:pPr>
      <w:r>
        <w:rPr>
          <w:rFonts w:ascii="Arial" w:hAnsi="Arial" w:eastAsia="Arial"/>
          <w:sz w:val="24"/>
        </w:rPr>
        <w:t>Following the disciplinary process and consideration of the information available, I write to confirm my decision that [STUDENT] is permanently excluded from Dovecote School with effect from [DATE], in accordance with the Behaviour Policy, Suspensions and Permanent Exclusions Policy and the relevant contractual and commissioning arrangements.</w:t>
      </w:r>
    </w:p>
    <w:p>
      <w:pPr>
        <w:spacing w:line="276" w:lineRule="auto" w:after="120"/>
      </w:pPr>
      <w:r>
        <w:rPr>
          <w:rFonts w:ascii="Arial" w:hAnsi="Arial" w:eastAsia="Arial"/>
          <w:sz w:val="24"/>
        </w:rPr>
        <w:t>The principal reasons for my decision are: [REASONS, INCLUDING FINDINGS OF FACT AND RELEVANT POLICY PROVISIONS].</w:t>
      </w:r>
    </w:p>
    <w:p>
      <w:pPr>
        <w:spacing w:line="276" w:lineRule="auto" w:after="120"/>
      </w:pPr>
      <w:r>
        <w:rPr>
          <w:rFonts w:ascii="Arial" w:hAnsi="Arial" w:eastAsia="Arial"/>
          <w:sz w:val="24"/>
        </w:rPr>
        <w:t>You may request an internal review of this decision by writing to the People, Resources and Compliance Manager within 10 school days of this letter. The review procedure is set out in section 8 of the policy. It is Dovecote School's internal contractual review and is not the statutory independent review panel procedure applicable to maintained schools and academies.</w:t>
      </w:r>
    </w:p>
    <w:p>
      <w:pPr>
        <w:spacing w:line="276" w:lineRule="auto" w:after="120"/>
      </w:pPr>
      <w:r>
        <w:rPr>
          <w:rFonts w:ascii="Arial" w:hAnsi="Arial" w:eastAsia="Arial"/>
          <w:sz w:val="24"/>
        </w:rPr>
        <w:t>The school will separately confirm [BELONGINGS, RECORDS, FEES, CONTRACTUAL OR COMMISSIONING ARRANGEMENTS AS APPLICABLE].</w:t>
      </w:r>
    </w:p>
    <w:p>
      <w:pPr>
        <w:spacing w:line="276" w:lineRule="auto" w:after="120"/>
      </w:pPr>
      <w:r>
        <w:rPr>
          <w:rFonts w:ascii="Arial" w:hAnsi="Arial" w:eastAsia="Arial"/>
          <w:sz w:val="24"/>
        </w:rPr>
        <w:t>Yours sincerely,</w:t>
        <w:br/>
        <w:t>Headteacher</w:t>
      </w:r>
    </w:p>
    <w:sectPr w:rsidR="00FB14C9" w:rsidRPr="00CB3F1E" w:rsidSect="00EF7E4C">
      <w:headerReference w:type="default" r:id="rId12"/>
      <w:footerReference w:type="even" r:id="rId13"/>
      <w:footerReference w:type="default" r:id="rId14"/>
      <w:footerReference w:type="first" r:id="rId18"/>
      <w:pgSz w:w="11900" w:h="16840"/>
      <w:pgMar w:top="851" w:right="1134" w:bottom="1134" w:left="1134" w:header="85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1A6FC" w14:textId="77777777" w:rsidR="00FB14C9" w:rsidRDefault="00FB14C9" w:rsidP="000C37B6">
      <w:r>
        <w:separator/>
      </w:r>
    </w:p>
  </w:endnote>
  <w:endnote w:type="continuationSeparator" w:id="0">
    <w:p w14:paraId="28DE8B4B" w14:textId="77777777" w:rsidR="00FB14C9" w:rsidRDefault="00FB14C9" w:rsidP="000C37B6">
      <w:r>
        <w:continuationSeparator/>
      </w:r>
    </w:p>
  </w:endnote>
  <w:endnote w:type="continuationNotice" w:id="1">
    <w:p w14:paraId="1DBFE53D" w14:textId="77777777" w:rsidR="00FB14C9" w:rsidRDefault="00FB14C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3BD2"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035B763"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C700" w14:textId="77777777" w:rsidR="003A0C47" w:rsidRDefault="003A0C47" w:rsidP="000C37B6">
    <w:pPr>
      <w:pStyle w:val="Footer"/>
    </w:pPr>
  </w:p>
  <w:p w14:paraId="238E0EE3" w14:textId="77777777" w:rsidR="00AC70BE" w:rsidRDefault="00AC70BE" w:rsidP="000C37B6">
    <w:pPr>
      <w:pStyle w:val="Footer"/>
    </w:pPr>
  </w:p>
  <w:tbl>
    <w:tblPr>
      <w:tblW w:w="0" w:type="auto"/>
      <w:jc w:val="center"/>
      <w:tblLook w:val="04A0" w:firstRow="1" w:lastRow="0" w:firstColumn="1" w:lastColumn="0" w:noHBand="0" w:noVBand="1"/>
    </w:tblPr>
    <w:tblGrid>
      <w:gridCol w:w="4680"/>
      <w:gridCol w:w="4680"/>
    </w:tblGrid>
    <w:tr w:rsidR="00FA199A" w14:paraId="3F992064" w14:textId="77777777">
      <w:trPr>
        <w:jc w:val="center"/>
      </w:trPr>
      <w:tc>
        <w:tcPr>
          <w:tcW w:w="4680" w:type="dxa"/>
          <w:tcMar>
            <w:top w:w="20" w:type="dxa"/>
            <w:left w:w="20" w:type="dxa"/>
            <w:bottom w:w="20" w:type="dxa"/>
            <w:right w:w="20" w:type="dxa"/>
          </w:tcMar>
        </w:tcPr>
        <w:p>
          <w:r>
            <w:rPr>
              <w:rFonts w:ascii="Arial" w:hAnsi="Arial"/>
              <w:sz w:val="18"/>
            </w:rPr>
            <w:t>DC013 Suspensions and Permanent Exclusions Policy | Dovecote School</w:t>
          </w:r>
        </w:p>
      </w:tc>
      <w:tc>
        <w:tcPr>
          <w:tcW w:w="4680" w:type="dxa"/>
          <w:tcMar>
            <w:top w:w="20" w:type="dxa"/>
            <w:left w:w="20" w:type="dxa"/>
            <w:bottom w:w="20" w:type="dxa"/>
            <w:right w:w="20" w:type="dxa"/>
          </w:tcMar>
        </w:tcPr>
        <w:p w14:paraId="2A7402B8" w14:textId="77777777" w:rsidR="00FA199A" w:rsidRDefault="00FB14C9">
          <w:pPr>
            <w:jc w:val="right"/>
          </w:pPr>
          <w:r>
            <w:rPr>
              <w:sz w:val="16"/>
            </w:rPr>
            <w:t xml:space="preserve">Page </w:t>
          </w:r>
          <w:r>
            <w:rPr>
              <w:sz w:val="16"/>
            </w:rPr>
            <w:fldChar w:fldCharType="begin"/>
          </w:r>
          <w:r>
            <w:rPr>
              <w:sz w:val="16"/>
            </w:rPr>
            <w:instrText>PAGE</w:instrText>
          </w:r>
          <w:r w:rsidR="00CB3F1E">
            <w:rPr>
              <w:sz w:val="16"/>
            </w:rPr>
            <w:fldChar w:fldCharType="separate"/>
          </w:r>
          <w:r w:rsidR="00CB3F1E">
            <w:rPr>
              <w:noProof/>
              <w:sz w:val="16"/>
            </w:rPr>
            <w:t>2</w:t>
          </w:r>
          <w:r>
            <w:rPr>
              <w:sz w:val="16"/>
            </w:rPr>
            <w:fldChar w:fldCharType="end"/>
          </w:r>
          <w:r>
            <w:rPr>
              <w:sz w:val="16"/>
            </w:rPr>
            <w:t xml:space="preserve"> of </w:t>
          </w:r>
          <w:r>
            <w:rPr>
              <w:sz w:val="16"/>
            </w:rPr>
            <w:fldChar w:fldCharType="begin"/>
          </w:r>
          <w:r>
            <w:rPr>
              <w:sz w:val="16"/>
            </w:rPr>
            <w:instrText>NUMPAGES</w:instrText>
          </w:r>
          <w:r w:rsidR="00CB3F1E">
            <w:rPr>
              <w:sz w:val="16"/>
            </w:rPr>
            <w:fldChar w:fldCharType="separate"/>
          </w:r>
          <w:r w:rsidR="00CB3F1E">
            <w:rPr>
              <w:noProof/>
              <w:sz w:val="16"/>
            </w:rPr>
            <w:t>3</w:t>
          </w:r>
          <w:r>
            <w:rPr>
              <w:sz w:val="16"/>
            </w:rPr>
            <w:fldChar w:fldCharType="end"/>
          </w:r>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027DB" w14:textId="77777777" w:rsidR="00FB14C9" w:rsidRDefault="00FB14C9" w:rsidP="000C37B6">
      <w:r>
        <w:separator/>
      </w:r>
    </w:p>
  </w:footnote>
  <w:footnote w:type="continuationSeparator" w:id="0">
    <w:p w14:paraId="4163761A" w14:textId="77777777" w:rsidR="00FB14C9" w:rsidRDefault="00FB14C9" w:rsidP="000C37B6">
      <w:r>
        <w:continuationSeparator/>
      </w:r>
    </w:p>
  </w:footnote>
  <w:footnote w:type="continuationNotice" w:id="1">
    <w:p w14:paraId="3921E932" w14:textId="77777777" w:rsidR="00FB14C9" w:rsidRDefault="00FB14C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98ED" w14:textId="77777777" w:rsidR="00FA199A" w:rsidRDefault="00FA199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57D36"/>
    <w:multiLevelType w:val="hybridMultilevel"/>
    <w:tmpl w:val="7834DB08"/>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1" w15:restartNumberingAfterBreak="0">
    <w:nsid w:val="1F180BA8"/>
    <w:multiLevelType w:val="hybridMultilevel"/>
    <w:tmpl w:val="70A6FC80"/>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2"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A6596"/>
    <w:multiLevelType w:val="hybridMultilevel"/>
    <w:tmpl w:val="9A8455B4"/>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4" w15:restartNumberingAfterBreak="0">
    <w:nsid w:val="426D1EC9"/>
    <w:multiLevelType w:val="hybridMultilevel"/>
    <w:tmpl w:val="11F42F60"/>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5"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6" w15:restartNumberingAfterBreak="0">
    <w:nsid w:val="629719AF"/>
    <w:multiLevelType w:val="hybridMultilevel"/>
    <w:tmpl w:val="ACF265B2"/>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7" w15:restartNumberingAfterBreak="0">
    <w:nsid w:val="62E54659"/>
    <w:multiLevelType w:val="hybridMultilevel"/>
    <w:tmpl w:val="C2DC271A"/>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8" w15:restartNumberingAfterBreak="0">
    <w:nsid w:val="74B927C8"/>
    <w:multiLevelType w:val="hybridMultilevel"/>
    <w:tmpl w:val="89946B5E"/>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num w:numId="1" w16cid:durableId="680473367">
    <w:abstractNumId w:val="5"/>
  </w:num>
  <w:num w:numId="2" w16cid:durableId="1613435777">
    <w:abstractNumId w:val="2"/>
  </w:num>
  <w:num w:numId="3" w16cid:durableId="1711765763">
    <w:abstractNumId w:val="3"/>
  </w:num>
  <w:num w:numId="4" w16cid:durableId="1282615251">
    <w:abstractNumId w:val="4"/>
  </w:num>
  <w:num w:numId="5" w16cid:durableId="1538737528">
    <w:abstractNumId w:val="8"/>
  </w:num>
  <w:num w:numId="6" w16cid:durableId="1398354394">
    <w:abstractNumId w:val="1"/>
  </w:num>
  <w:num w:numId="7" w16cid:durableId="1124228170">
    <w:abstractNumId w:val="0"/>
  </w:num>
  <w:num w:numId="8" w16cid:durableId="201285850">
    <w:abstractNumId w:val="7"/>
  </w:num>
  <w:num w:numId="9" w16cid:durableId="29055309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18B1"/>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3F1E"/>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199A"/>
    <w:rsid w:val="00FA2687"/>
    <w:rsid w:val="00FA3128"/>
    <w:rsid w:val="00FA3501"/>
    <w:rsid w:val="00FA3AE2"/>
    <w:rsid w:val="00FA653C"/>
    <w:rsid w:val="00FA6ECE"/>
    <w:rsid w:val="00FA7F13"/>
    <w:rsid w:val="00FB0AD0"/>
    <w:rsid w:val="00FB1442"/>
    <w:rsid w:val="00FB14C9"/>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E4AC74"/>
  <w15:chartTrackingRefBased/>
  <w15:docId w15:val="{7FC75078-4DA6-4731-BF49-0001A9503CE1}"/>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line="276" w:lineRule="auto"/>
    </w:pPr>
    <w:rPr>
      <w:rFonts w:cs="Arial" w:ascii="Arial" w:hAnsi="Arial"/>
      <w:sz w:val="24"/>
      <w:lang w:val="en-GB" w:eastAsia="en-US"/>
    </w:rPr>
  </w:style>
  <w:style w:type="paragraph" w:styleId="Heading1">
    <w:name w:val="heading 1"/>
    <w:basedOn w:val="Normal"/>
    <w:next w:val="Normal"/>
    <w:link w:val="Heading1Char"/>
    <w:autoRedefine/>
    <w:uiPriority w:val="9"/>
    <w:qFormat/>
    <w:rsid w:val="001F5017"/>
    <w:pPr>
      <w:keepNext/>
      <w:keepLines/>
      <w:spacing w:before="360" w:line="276" w:lineRule="auto"/>
      <w:outlineLvl w:val="0"/>
    </w:pPr>
    <w:rPr>
      <w:rFonts w:eastAsia="MS Gothic" w:cs="Traditional Arabic" w:ascii="Arial" w:hAnsi="Arial"/>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spacing w:line="276" w:lineRule="auto"/>
      <w:outlineLvl w:val="1"/>
    </w:pPr>
    <w:rPr>
      <w:rFonts w:eastAsia="Times New Roman" w:ascii="Arial" w:hAnsi="Arial"/>
      <w:b/>
      <w:bCs/>
      <w:iCs/>
      <w:color w:val="2F0F23"/>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76" w:lineRule="auto"/>
      <w:ind w:left="720"/>
      <w:contextualSpacing/>
    </w:pPr>
    <w:rPr>
      <w:rFonts w:ascii="Arial" w:eastAsia="Calibri" w:hAnsi="Arial"/>
      <w:sz w:val="24"/>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1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3532</Words>
  <Characters>20136</Characters>
  <Application>Microsoft Office Word</Application>
  <DocSecurity>0</DocSecurity>
  <Lines>167</Lines>
  <Paragraphs>47</Paragraphs>
  <ScaleCrop>false</ScaleCrop>
  <Company>The Key</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DC013 Suspensions and Permanent Exclusions Policy</dc:title>
  <dc:subject>Dovecote School suspensions and permanent exclusions arrangements</dc:subject>
  <dc:creator>Dovecote School</dc:creator>
  <cp:keywords/>
  <cp:lastModifiedBy>Sam Andrews</cp:lastModifiedBy>
  <cp:revision>2</cp:revision>
  <cp:lastPrinted>2018-02-14T06:33:00Z</cp:lastPrinted>
  <dcterms:created xsi:type="dcterms:W3CDTF">2026-08-10T13:57:00Z</dcterms:created>
  <dcterms:modified xsi:type="dcterms:W3CDTF">2026-08-10T13:57:00Z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